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160" w:line="259" w:lineRule="auto"/>
        <w:jc w:val="both"/>
        <w:textAlignment w:val="baseline"/>
        <w:rPr>
          <w:rFonts w:hint="default" w:ascii="Arial" w:hAnsi="Arial" w:eastAsia="宋体" w:cs="Times New Roman"/>
          <w:b/>
          <w:bCs/>
          <w:sz w:val="24"/>
          <w:szCs w:val="24"/>
          <w:lang w:val="en-US" w:eastAsia="zh-CN" w:bidi="ar-SA"/>
        </w:rPr>
      </w:pPr>
      <w:r>
        <w:rPr>
          <w:rFonts w:ascii="Arial" w:hAnsi="Arial" w:eastAsia="宋体" w:cs="Times New Roman"/>
          <w:b/>
          <w:bCs/>
          <w:sz w:val="24"/>
          <w:szCs w:val="24"/>
          <w:lang w:val="en-GB" w:eastAsia="ja-JP" w:bidi="ar-SA"/>
        </w:rPr>
        <w:t>3GPP T</w:t>
      </w:r>
      <w:bookmarkStart w:id="0" w:name="_Ref452454252"/>
      <w:bookmarkEnd w:id="0"/>
      <w:r>
        <w:rPr>
          <w:rFonts w:ascii="Arial" w:hAnsi="Arial" w:eastAsia="宋体" w:cs="Times New Roman"/>
          <w:b/>
          <w:bCs/>
          <w:sz w:val="24"/>
          <w:szCs w:val="24"/>
          <w:lang w:val="en-GB" w:eastAsia="ja-JP" w:bidi="ar-SA"/>
        </w:rPr>
        <w:t>SG-RAN WG2 Meeting #116-e</w:t>
      </w:r>
      <w:r>
        <w:rPr>
          <w:rFonts w:ascii="Arial" w:hAnsi="Arial" w:eastAsia="宋体" w:cs="Times New Roman"/>
          <w:b/>
          <w:bCs/>
          <w:sz w:val="24"/>
          <w:szCs w:val="24"/>
          <w:lang w:val="en-GB" w:eastAsia="ja-JP" w:bidi="ar-SA"/>
        </w:rPr>
        <w:tab/>
      </w:r>
      <w:r>
        <w:rPr>
          <w:rFonts w:ascii="Arial" w:hAnsi="Arial" w:eastAsia="宋体" w:cs="Times New Roman"/>
          <w:b/>
          <w:bCs/>
          <w:sz w:val="24"/>
          <w:szCs w:val="24"/>
          <w:lang w:val="en-GB" w:eastAsia="ja-JP" w:bidi="ar-SA"/>
        </w:rPr>
        <w:t>R2-</w:t>
      </w:r>
      <w:r>
        <w:rPr>
          <w:rFonts w:hint="eastAsia" w:ascii="Arial" w:hAnsi="Arial" w:eastAsia="宋体" w:cs="Times New Roman"/>
          <w:b/>
          <w:bCs/>
          <w:sz w:val="24"/>
          <w:szCs w:val="24"/>
          <w:lang w:val="en-US" w:eastAsia="zh-CN" w:bidi="ar-SA"/>
        </w:rPr>
        <w:t>2110519</w:t>
      </w:r>
    </w:p>
    <w:p>
      <w:pPr>
        <w:widowControl w:val="0"/>
        <w:tabs>
          <w:tab w:val="right" w:pos="9639"/>
        </w:tabs>
        <w:overflowPunct w:val="0"/>
        <w:autoSpaceDE w:val="0"/>
        <w:autoSpaceDN w:val="0"/>
        <w:adjustRightInd w:val="0"/>
        <w:spacing w:after="160" w:line="259" w:lineRule="auto"/>
        <w:jc w:val="both"/>
        <w:textAlignment w:val="baseline"/>
        <w:rPr>
          <w:rFonts w:ascii="Arial" w:hAnsi="Arial" w:eastAsia="宋体" w:cs="Times New Roman"/>
          <w:b/>
          <w:bCs/>
          <w:sz w:val="24"/>
          <w:szCs w:val="24"/>
          <w:lang w:val="en-GB" w:eastAsia="zh-CN" w:bidi="ar-SA"/>
        </w:rPr>
      </w:pPr>
      <w:r>
        <w:rPr>
          <w:rFonts w:ascii="Arial" w:hAnsi="Arial" w:eastAsia="宋体" w:cs="Times New Roman"/>
          <w:b/>
          <w:bCs/>
          <w:sz w:val="24"/>
          <w:szCs w:val="24"/>
          <w:lang w:val="en-GB" w:eastAsia="zh-CN" w:bidi="ar-SA"/>
        </w:rPr>
        <w:t>Online, Nov 1</w:t>
      </w:r>
      <w:r>
        <w:rPr>
          <w:rFonts w:ascii="Arial" w:hAnsi="Arial" w:eastAsia="宋体" w:cs="Times New Roman"/>
          <w:b/>
          <w:bCs/>
          <w:sz w:val="24"/>
          <w:szCs w:val="24"/>
          <w:vertAlign w:val="superscript"/>
          <w:lang w:val="en-GB" w:eastAsia="zh-CN" w:bidi="ar-SA"/>
        </w:rPr>
        <w:t>st</w:t>
      </w:r>
      <w:r>
        <w:rPr>
          <w:rFonts w:ascii="Arial" w:hAnsi="Arial" w:eastAsia="宋体" w:cs="Times New Roman"/>
          <w:b/>
          <w:bCs/>
          <w:sz w:val="24"/>
          <w:szCs w:val="24"/>
          <w:lang w:val="en-GB" w:eastAsia="zh-CN" w:bidi="ar-SA"/>
        </w:rPr>
        <w:t xml:space="preserve"> – Nov 12</w:t>
      </w:r>
      <w:r>
        <w:rPr>
          <w:rFonts w:ascii="Arial" w:hAnsi="Arial" w:eastAsia="宋体" w:cs="Times New Roman"/>
          <w:b/>
          <w:bCs/>
          <w:sz w:val="24"/>
          <w:szCs w:val="24"/>
          <w:vertAlign w:val="superscript"/>
          <w:lang w:val="en-GB" w:eastAsia="zh-CN" w:bidi="ar-SA"/>
        </w:rPr>
        <w:t>th</w:t>
      </w:r>
      <w:r>
        <w:rPr>
          <w:rFonts w:ascii="Arial" w:hAnsi="Arial" w:eastAsia="宋体" w:cs="Times New Roman"/>
          <w:b/>
          <w:bCs/>
          <w:sz w:val="24"/>
          <w:szCs w:val="24"/>
          <w:lang w:val="en-GB" w:eastAsia="zh-CN" w:bidi="ar-SA"/>
        </w:rPr>
        <w:t>, 2021</w:t>
      </w:r>
    </w:p>
    <w:p>
      <w:pPr>
        <w:overflowPunct w:val="0"/>
        <w:autoSpaceDE w:val="0"/>
        <w:autoSpaceDN w:val="0"/>
        <w:adjustRightInd w:val="0"/>
        <w:snapToGrid w:val="0"/>
        <w:jc w:val="left"/>
        <w:textAlignment w:val="baseline"/>
        <w:rPr>
          <w:rFonts w:ascii="Arial" w:hAnsi="Arial" w:eastAsia="宋体" w:cs="Times New Roman"/>
          <w:b/>
          <w:bCs/>
          <w:sz w:val="24"/>
          <w:szCs w:val="24"/>
          <w:lang w:val="en-GB" w:eastAsia="zh-CN" w:bidi="ar-SA"/>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Remaining issues on SN initiated inter-SN CPC</w:t>
      </w:r>
    </w:p>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hint="eastAsia" w:ascii="Arial" w:hAnsi="Arial" w:cs="Arial"/>
          <w:b/>
          <w:bCs/>
          <w:snapToGrid w:val="0"/>
          <w:kern w:val="0"/>
          <w:sz w:val="24"/>
        </w:rPr>
        <w:tab/>
      </w:r>
      <w:r>
        <w:rPr>
          <w:rFonts w:hint="eastAsia" w:ascii="Arial" w:hAnsi="Arial" w:cs="Arial"/>
          <w:b/>
          <w:bCs/>
          <w:snapToGrid w:val="0"/>
          <w:kern w:val="0"/>
          <w:sz w:val="24"/>
          <w:lang w:val="en-US" w:eastAsia="zh-CN"/>
        </w:rPr>
        <w:t>8.2.3.1</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20" w:after="0"/>
        <w:rPr>
          <w:rFonts w:hint="eastAsia" w:ascii="Times New Roman" w:hAnsi="Times New Roman" w:cs="Times New Roman"/>
          <w:lang w:val="en-US" w:eastAsia="zh-CN"/>
        </w:rPr>
      </w:pPr>
      <w:bookmarkStart w:id="3" w:name="OLE_LINK1"/>
      <w:r>
        <w:rPr>
          <w:rFonts w:hint="eastAsia" w:cs="Times New Roman"/>
          <w:lang w:val="en-US" w:eastAsia="zh-CN"/>
        </w:rPr>
        <w:t>At</w:t>
      </w:r>
      <w:r>
        <w:rPr>
          <w:rFonts w:hint="eastAsia" w:ascii="Times New Roman" w:hAnsi="Times New Roman" w:cs="Times New Roman"/>
          <w:lang w:val="en-US" w:eastAsia="zh-CN"/>
        </w:rPr>
        <w:t xml:space="preserve"> RAN2#11</w:t>
      </w:r>
      <w:r>
        <w:rPr>
          <w:rFonts w:hint="eastAsia" w:cs="Times New Roman"/>
          <w:lang w:val="en-US" w:eastAsia="zh-CN"/>
        </w:rPr>
        <w:t>5-</w:t>
      </w:r>
      <w:r>
        <w:rPr>
          <w:rFonts w:hint="eastAsia" w:ascii="Times New Roman" w:hAnsi="Times New Roman" w:cs="Times New Roman"/>
          <w:lang w:val="en-US" w:eastAsia="zh-CN"/>
        </w:rPr>
        <w:t>e</w:t>
      </w:r>
      <w:r>
        <w:rPr>
          <w:rFonts w:hint="eastAsia" w:cs="Times New Roman"/>
          <w:lang w:val="en-US" w:eastAsia="zh-CN"/>
        </w:rPr>
        <w:t xml:space="preserve"> meeting</w:t>
      </w:r>
      <w:r>
        <w:rPr>
          <w:rFonts w:hint="eastAsia" w:ascii="Times New Roman" w:hAnsi="Times New Roman" w:cs="Times New Roman"/>
          <w:lang w:val="en-US" w:eastAsia="zh-CN"/>
        </w:rPr>
        <w:t xml:space="preserve">, </w:t>
      </w:r>
      <w:r>
        <w:rPr>
          <w:rFonts w:hint="eastAsia" w:cs="Times New Roman"/>
          <w:lang w:val="en-US" w:eastAsia="zh-CN"/>
        </w:rPr>
        <w:t>we made some</w:t>
      </w:r>
      <w:r>
        <w:rPr>
          <w:rFonts w:hint="eastAsia" w:ascii="Times New Roman" w:hAnsi="Times New Roman" w:cs="Times New Roman"/>
          <w:lang w:val="en-US" w:eastAsia="zh-CN"/>
        </w:rPr>
        <w:t xml:space="preserve"> agreements </w:t>
      </w:r>
      <w:r>
        <w:rPr>
          <w:rFonts w:hint="eastAsia" w:cs="Times New Roman"/>
          <w:lang w:val="en-US" w:eastAsia="zh-CN"/>
        </w:rPr>
        <w:t>on CPAC procedure and the working assumption on SN initiated inter-SN CPC as follows</w:t>
      </w:r>
      <w:r>
        <w:rPr>
          <w:rFonts w:hint="eastAsia" w:ascii="Times New Roman" w:hAnsi="Times New Roman" w:cs="Times New Roman"/>
          <w:lang w:val="en-US" w:eastAsia="zh-CN"/>
        </w:rPr>
        <w:t xml:space="preserve"> [1].</w:t>
      </w:r>
    </w:p>
    <w:tbl>
      <w:tblPr>
        <w:tblStyle w:val="5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widowControl w:val="0"/>
              <w:numPr>
                <w:ilvl w:val="0"/>
                <w:numId w:val="4"/>
              </w:numPr>
              <w:tabs>
                <w:tab w:val="left" w:pos="1619"/>
              </w:tabs>
              <w:spacing w:before="60" w:after="0"/>
              <w:ind w:left="533"/>
              <w:jc w:val="both"/>
              <w:rPr>
                <w:rFonts w:ascii="Arial" w:hAnsi="Arial" w:eastAsia="MS Mincho"/>
                <w:szCs w:val="24"/>
                <w:lang w:eastAsia="en-GB"/>
              </w:rPr>
            </w:pPr>
            <w:r>
              <w:rPr>
                <w:rFonts w:ascii="Arial" w:hAnsi="Arial" w:eastAsia="MS Mincho"/>
                <w:szCs w:val="24"/>
                <w:lang w:eastAsia="en-GB"/>
              </w:rPr>
              <w:t>Working assumption: We go for solution 2. Should make sure multiple re-negotiation procedures (i.e. two nested procedures or anything that requires negotiation cannot be used) is not allowed. Inform RAN3 and take their feedback into account.</w:t>
            </w:r>
          </w:p>
          <w:p>
            <w:pPr>
              <w:widowControl w:val="0"/>
              <w:numPr>
                <w:ilvl w:val="0"/>
                <w:numId w:val="4"/>
              </w:numPr>
              <w:tabs>
                <w:tab w:val="left" w:pos="1619"/>
              </w:tabs>
              <w:spacing w:before="60" w:after="0"/>
              <w:ind w:left="533"/>
              <w:jc w:val="both"/>
              <w:rPr>
                <w:rFonts w:ascii="Arial" w:hAnsi="Arial" w:eastAsia="MS Mincho"/>
                <w:szCs w:val="24"/>
                <w:lang w:eastAsia="en-GB"/>
              </w:rPr>
            </w:pPr>
            <w:r>
              <w:rPr>
                <w:rFonts w:ascii="Arial" w:hAnsi="Arial" w:eastAsia="MS Mincho"/>
                <w:szCs w:val="24"/>
                <w:lang w:eastAsia="en-GB"/>
              </w:rPr>
              <w:t>6</w:t>
            </w:r>
            <w:r>
              <w:rPr>
                <w:rFonts w:hint="eastAsia" w:ascii="Arial" w:hAnsi="Arial" w:eastAsia="MS Mincho"/>
                <w:szCs w:val="24"/>
                <w:lang w:eastAsia="en-GB"/>
              </w:rPr>
              <w:t xml:space="preserve"> </w:t>
            </w:r>
            <w:r>
              <w:rPr>
                <w:rFonts w:ascii="Arial" w:hAnsi="Arial" w:eastAsia="MS Mincho"/>
                <w:szCs w:val="24"/>
                <w:lang w:eastAsia="en-GB"/>
              </w:rPr>
              <w:t>The inter-node signalling from (at least) target SN to MN for CPAC procedures only includes a single container (FFS which IE), even if several PSCell candidates are provided.</w:t>
            </w:r>
          </w:p>
          <w:p>
            <w:pPr>
              <w:widowControl w:val="0"/>
              <w:numPr>
                <w:ilvl w:val="0"/>
                <w:numId w:val="4"/>
              </w:numPr>
              <w:tabs>
                <w:tab w:val="left" w:pos="1619"/>
              </w:tabs>
              <w:spacing w:before="60" w:after="0"/>
              <w:ind w:left="533"/>
              <w:jc w:val="both"/>
              <w:rPr>
                <w:rFonts w:ascii="Arial" w:hAnsi="Arial" w:eastAsia="MS Mincho"/>
                <w:szCs w:val="24"/>
                <w:lang w:eastAsia="en-GB"/>
              </w:rPr>
            </w:pPr>
            <w:r>
              <w:rPr>
                <w:rFonts w:ascii="Arial" w:hAnsi="Arial" w:eastAsia="MS Mincho"/>
                <w:szCs w:val="24"/>
                <w:lang w:eastAsia="en-GB"/>
              </w:rPr>
              <w:t>10</w:t>
            </w:r>
            <w:r>
              <w:rPr>
                <w:rFonts w:hint="eastAsia" w:ascii="Arial" w:hAnsi="Arial" w:eastAsia="MS Mincho"/>
                <w:szCs w:val="24"/>
                <w:lang w:eastAsia="en-GB"/>
              </w:rPr>
              <w:t xml:space="preserve"> </w:t>
            </w:r>
            <w:r>
              <w:rPr>
                <w:rFonts w:ascii="Arial" w:hAnsi="Arial" w:eastAsia="MS Mincho"/>
                <w:szCs w:val="24"/>
                <w:lang w:eastAsia="en-GB"/>
              </w:rPr>
              <w:t xml:space="preserve">A response LS should be sent to RAN3 to inform about the RAN2 decisions on inter-node RRC container design for CPAC. </w:t>
            </w:r>
          </w:p>
          <w:p>
            <w:pPr>
              <w:spacing w:before="60" w:after="0"/>
              <w:rPr>
                <w:rFonts w:ascii="Arial" w:hAnsi="Arial" w:eastAsia="MS Mincho"/>
                <w:szCs w:val="24"/>
                <w:lang w:val="en-US" w:eastAsia="en-GB"/>
              </w:rPr>
            </w:pPr>
            <w:r>
              <w:rPr>
                <w:rFonts w:ascii="Arial" w:hAnsi="Arial" w:eastAsia="MS Mincho"/>
                <w:szCs w:val="24"/>
                <w:lang w:val="en-US" w:eastAsia="en-GB"/>
              </w:rPr>
              <w:t xml:space="preserve">Bulk agreement </w:t>
            </w:r>
          </w:p>
          <w:p>
            <w:pPr>
              <w:tabs>
                <w:tab w:val="left" w:pos="1619"/>
              </w:tabs>
              <w:spacing w:before="60" w:after="0"/>
              <w:ind w:left="470" w:hanging="357"/>
              <w:rPr>
                <w:rFonts w:ascii="Arial" w:hAnsi="Arial" w:eastAsia="MS Mincho"/>
                <w:szCs w:val="24"/>
                <w:lang w:val="en-US" w:eastAsia="en-GB"/>
              </w:rPr>
            </w:pPr>
            <w:r>
              <w:rPr>
                <w:rFonts w:ascii="Arial" w:hAnsi="Arial" w:eastAsia="MS Mincho"/>
                <w:szCs w:val="24"/>
                <w:lang w:val="en-US" w:eastAsia="en-GB"/>
              </w:rPr>
              <w:t>1:   Reuse the conditionalReconfiguration field to configure CPAC (all scenarios) in Rel-17.</w:t>
            </w:r>
          </w:p>
          <w:p>
            <w:pPr>
              <w:tabs>
                <w:tab w:val="left" w:pos="1619"/>
              </w:tabs>
              <w:spacing w:before="60" w:after="0"/>
              <w:ind w:left="470" w:hanging="357"/>
              <w:rPr>
                <w:rFonts w:ascii="Arial" w:hAnsi="Arial" w:eastAsia="MS Mincho"/>
                <w:szCs w:val="24"/>
                <w:lang w:val="en-US" w:eastAsia="en-GB"/>
              </w:rPr>
            </w:pPr>
            <w:r>
              <w:rPr>
                <w:rFonts w:ascii="Arial" w:hAnsi="Arial" w:eastAsia="MS Mincho"/>
                <w:szCs w:val="24"/>
                <w:lang w:val="en-US" w:eastAsia="en-GB"/>
              </w:rPr>
              <w:t>2a: For NR-DC, reuse the condRRCReconfig field to contain both MCG and SCG re-configurations for each candidate PSCell configuration. I.e. the RRC message contained in the condRRCReconfig is in MN format, in which the RRC message generated by the candidate SN is encapsulated in a RRC container (e.g. mrdc-SecondaryCellGroup).</w:t>
            </w:r>
          </w:p>
          <w:p>
            <w:pPr>
              <w:tabs>
                <w:tab w:val="left" w:pos="1619"/>
              </w:tabs>
              <w:spacing w:before="60" w:after="0"/>
              <w:ind w:left="470" w:hanging="357"/>
              <w:rPr>
                <w:rFonts w:ascii="Arial" w:hAnsi="Arial" w:eastAsia="MS Mincho"/>
                <w:szCs w:val="24"/>
                <w:lang w:val="en-US" w:eastAsia="en-GB"/>
              </w:rPr>
            </w:pPr>
            <w:r>
              <w:rPr>
                <w:rFonts w:ascii="Arial" w:hAnsi="Arial" w:eastAsia="MS Mincho"/>
                <w:szCs w:val="24"/>
                <w:lang w:val="en-US" w:eastAsia="en-GB"/>
              </w:rPr>
              <w:t>2b: For (NG)EN-DC, reuse the condReconfigurationToApply field for (NG)EN-DC to contain both MCG and SCG re-configurations for each candidate PSCell configuration.  I.e. the RRC message contained in the condReconfigurationToApply is in MN format, in which the RRC message generated by the candidate SN is encapsulated in a RRC container (e.g. nr-SecondaryCellGroupConfig).</w:t>
            </w:r>
          </w:p>
          <w:p>
            <w:pPr>
              <w:tabs>
                <w:tab w:val="left" w:pos="1619"/>
              </w:tabs>
              <w:spacing w:before="60" w:after="0"/>
              <w:ind w:left="470" w:hanging="357"/>
              <w:rPr>
                <w:rFonts w:ascii="Arial" w:hAnsi="Arial" w:eastAsia="MS Mincho"/>
                <w:szCs w:val="24"/>
                <w:lang w:val="en-US" w:eastAsia="en-GB"/>
              </w:rPr>
            </w:pPr>
            <w:r>
              <w:rPr>
                <w:rFonts w:ascii="Arial" w:hAnsi="Arial" w:eastAsia="MS Mincho"/>
                <w:szCs w:val="24"/>
                <w:lang w:val="en-US" w:eastAsia="en-GB"/>
              </w:rPr>
              <w:t>3: For CPA and MN-initiated CPC, the execution conditions are configured in condExecutionCond for NR-DC, or triggerCondition for (NG)EN-DC and refer to an MCG MeasConfig.</w:t>
            </w:r>
          </w:p>
          <w:p>
            <w:pPr>
              <w:tabs>
                <w:tab w:val="left" w:pos="1619"/>
              </w:tabs>
              <w:spacing w:before="60" w:after="0"/>
              <w:ind w:left="470" w:hanging="357"/>
              <w:rPr>
                <w:rFonts w:ascii="Arial" w:hAnsi="Arial" w:eastAsia="MS Mincho"/>
                <w:szCs w:val="24"/>
                <w:lang w:val="en-US" w:eastAsia="en-GB"/>
              </w:rPr>
            </w:pPr>
            <w:r>
              <w:rPr>
                <w:rFonts w:ascii="Arial" w:hAnsi="Arial" w:eastAsia="MS Mincho"/>
                <w:szCs w:val="24"/>
                <w:lang w:val="en-US" w:eastAsia="en-GB"/>
              </w:rPr>
              <w:t>5: For CPA and inter-SN CPC, condReconfigId/CondReconfigurationId of the selected target PSCell is included in the RRC Reconfigutation Complete message to the MN.</w:t>
            </w:r>
          </w:p>
          <w:p>
            <w:pPr>
              <w:tabs>
                <w:tab w:val="left" w:pos="1619"/>
              </w:tabs>
              <w:spacing w:before="60" w:after="0"/>
              <w:ind w:left="470" w:hanging="357"/>
              <w:rPr>
                <w:rFonts w:ascii="Arial" w:hAnsi="Arial" w:eastAsia="MS Mincho"/>
                <w:szCs w:val="24"/>
                <w:lang w:val="en-US" w:eastAsia="en-GB"/>
              </w:rPr>
            </w:pPr>
            <w:r>
              <w:rPr>
                <w:rFonts w:ascii="Arial" w:hAnsi="Arial" w:eastAsia="MS Mincho"/>
                <w:szCs w:val="24"/>
                <w:lang w:val="en-US" w:eastAsia="en-GB"/>
              </w:rPr>
              <w:t>6: The existing EUTRA signalling in ReportConfigInterRAT is to be modified to support B1 events for CPA and MN initiated CPC in (NG)EN-DC .</w:t>
            </w:r>
          </w:p>
          <w:p>
            <w:pPr>
              <w:tabs>
                <w:tab w:val="left" w:pos="1619"/>
              </w:tabs>
              <w:spacing w:before="60" w:after="0"/>
              <w:ind w:left="470" w:hanging="357"/>
              <w:rPr>
                <w:rFonts w:ascii="Arial" w:hAnsi="Arial" w:eastAsia="MS Mincho"/>
                <w:szCs w:val="24"/>
                <w:lang w:val="en-US" w:eastAsia="en-GB"/>
              </w:rPr>
            </w:pPr>
            <w:r>
              <w:rPr>
                <w:rFonts w:ascii="Arial" w:hAnsi="Arial" w:eastAsia="MS Mincho"/>
                <w:szCs w:val="24"/>
                <w:lang w:val="en-US" w:eastAsia="en-GB"/>
              </w:rPr>
              <w:t>7: The existing NR signalling in ReportConfigNR is to be modified to support A4 events for CPA and MN initiated CPC in NR-DC.</w:t>
            </w:r>
          </w:p>
          <w:p>
            <w:pPr>
              <w:tabs>
                <w:tab w:val="left" w:pos="1619"/>
              </w:tabs>
              <w:spacing w:before="60" w:after="0"/>
              <w:ind w:left="470" w:hanging="357"/>
              <w:rPr>
                <w:rFonts w:ascii="Arial" w:hAnsi="Arial" w:eastAsia="MS Mincho"/>
                <w:szCs w:val="24"/>
                <w:lang w:val="en-US" w:eastAsia="en-GB"/>
              </w:rPr>
            </w:pPr>
            <w:r>
              <w:rPr>
                <w:rFonts w:ascii="Arial" w:hAnsi="Arial" w:eastAsia="MS Mincho"/>
                <w:szCs w:val="24"/>
                <w:lang w:val="en-US" w:eastAsia="en-GB"/>
              </w:rPr>
              <w:t>12a: A new field (e.g. condExecutionCondSN) in CondReconfigToAddMod is introduced for NR-DC to indicate that the execution condition refers to the SCG MeasConfig .</w:t>
            </w:r>
          </w:p>
          <w:p>
            <w:pPr>
              <w:tabs>
                <w:tab w:val="left" w:pos="1619"/>
              </w:tabs>
              <w:spacing w:before="60" w:after="0"/>
              <w:ind w:left="470" w:hanging="357"/>
              <w:rPr>
                <w:rFonts w:ascii="Arial" w:hAnsi="Arial" w:eastAsia="宋体"/>
                <w:szCs w:val="24"/>
                <w:lang w:val="en-US" w:eastAsia="zh-CN"/>
              </w:rPr>
            </w:pPr>
            <w:r>
              <w:rPr>
                <w:rFonts w:ascii="Arial" w:hAnsi="Arial" w:eastAsia="MS Mincho"/>
                <w:szCs w:val="24"/>
                <w:lang w:val="en-US" w:eastAsia="en-GB"/>
              </w:rPr>
              <w:t>12b: A new field (e.g. triggerConditionSN) in CondReconfigurationAddMod for (NG)EN-DC is introduced to indicate that the execution condition refers to the SCG MeasConfig .</w:t>
            </w:r>
          </w:p>
          <w:p>
            <w:pPr>
              <w:tabs>
                <w:tab w:val="left" w:pos="1619"/>
              </w:tabs>
              <w:spacing w:before="60" w:after="0"/>
              <w:ind w:left="470" w:hanging="357"/>
              <w:rPr>
                <w:rFonts w:ascii="Arial" w:hAnsi="Arial" w:eastAsia="MS Mincho"/>
                <w:szCs w:val="24"/>
                <w:lang w:val="en-US" w:eastAsia="en-GB"/>
              </w:rPr>
            </w:pPr>
            <w:r>
              <w:rPr>
                <w:rFonts w:ascii="Arial" w:hAnsi="Arial" w:eastAsia="MS Mincho"/>
                <w:szCs w:val="24"/>
                <w:lang w:val="en-US" w:eastAsia="en-GB"/>
              </w:rPr>
              <w:t>4: For CPA and inter-SN CPC, upon execution of CPAC, the UE includes the selected target PSCell information in the RRC Reconfiguration Complete message to the MN.</w:t>
            </w:r>
          </w:p>
          <w:p>
            <w:pPr>
              <w:tabs>
                <w:tab w:val="left" w:pos="1619"/>
              </w:tabs>
              <w:spacing w:before="60" w:after="0"/>
              <w:ind w:left="470" w:hanging="357"/>
              <w:rPr>
                <w:rFonts w:ascii="Arial" w:hAnsi="Arial" w:eastAsia="MS Mincho"/>
                <w:szCs w:val="24"/>
                <w:lang w:val="en-US" w:eastAsia="en-GB"/>
              </w:rPr>
            </w:pPr>
            <w:r>
              <w:rPr>
                <w:rFonts w:ascii="Arial" w:hAnsi="Arial" w:eastAsia="MS Mincho"/>
                <w:szCs w:val="24"/>
                <w:lang w:val="en-US" w:eastAsia="en-GB"/>
              </w:rPr>
              <w:t>11: The MN does not need to comprehend the execution condition set by the source SN. The MN can associate the execution condition configuration to an RRCReconfiguration message provided by the target –SN without comprehending the execution condition set by the source SN.</w:t>
            </w:r>
          </w:p>
          <w:p>
            <w:pPr>
              <w:tabs>
                <w:tab w:val="left" w:pos="1619"/>
              </w:tabs>
              <w:spacing w:before="60" w:after="0"/>
              <w:ind w:left="470" w:hanging="357"/>
              <w:rPr>
                <w:rFonts w:ascii="Arial" w:hAnsi="Arial" w:eastAsia="MS Mincho"/>
                <w:b/>
                <w:szCs w:val="24"/>
                <w:lang w:val="en-US" w:eastAsia="en-GB"/>
              </w:rPr>
            </w:pPr>
            <w:r>
              <w:rPr>
                <w:rFonts w:ascii="Arial" w:hAnsi="Arial" w:eastAsia="MS Mincho"/>
                <w:szCs w:val="24"/>
                <w:lang w:val="en-US" w:eastAsia="en-GB"/>
              </w:rPr>
              <w:t>10: The UE shall delete CPC related measConfig upon successful CPC execution (i.e. after RA completes and UE has sent RRC Reconfiguration Complete to MN).</w:t>
            </w:r>
          </w:p>
        </w:tc>
      </w:tr>
    </w:tbl>
    <w:p>
      <w:pPr>
        <w:spacing w:before="120" w:after="0"/>
        <w:rPr>
          <w:rFonts w:hint="default" w:ascii="Times New Roman" w:hAnsi="Times New Roman" w:cs="Times New Roman"/>
          <w:lang w:val="en-US" w:eastAsia="zh-CN"/>
        </w:rPr>
      </w:pPr>
      <w:r>
        <w:rPr>
          <w:rFonts w:hint="eastAsia" w:ascii="Times New Roman" w:hAnsi="Times New Roman" w:cs="Times New Roman"/>
          <w:lang w:val="en-US" w:eastAsia="zh-CN"/>
        </w:rPr>
        <w:t xml:space="preserve">In this contribution, we discussed some </w:t>
      </w:r>
      <w:r>
        <w:rPr>
          <w:rFonts w:hint="eastAsia" w:cs="Times New Roman"/>
          <w:lang w:val="en-US" w:eastAsia="zh-CN"/>
        </w:rPr>
        <w:t>remaining</w:t>
      </w:r>
      <w:r>
        <w:rPr>
          <w:rFonts w:hint="eastAsia" w:ascii="Times New Roman" w:hAnsi="Times New Roman" w:cs="Times New Roman"/>
          <w:lang w:val="en-US" w:eastAsia="zh-CN"/>
        </w:rPr>
        <w:t xml:space="preserve"> issues on </w:t>
      </w:r>
      <w:r>
        <w:rPr>
          <w:rFonts w:hint="eastAsia" w:cs="Times New Roman"/>
          <w:lang w:val="en-US" w:eastAsia="zh-CN"/>
        </w:rPr>
        <w:t>SN initiated inter-SN CPC procedure</w:t>
      </w:r>
      <w:r>
        <w:rPr>
          <w:rFonts w:hint="eastAsia" w:ascii="Times New Roman" w:hAnsi="Times New Roman" w:cs="Times New Roman"/>
          <w:lang w:val="en-US" w:eastAsia="zh-CN"/>
        </w:rPr>
        <w:t xml:space="preserve">.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Discussion</w:t>
      </w:r>
    </w:p>
    <w:bookmarkEnd w:id="3"/>
    <w:p>
      <w:pPr>
        <w:pStyle w:val="5"/>
        <w:numPr>
          <w:ilvl w:val="1"/>
          <w:numId w:val="0"/>
        </w:numPr>
        <w:bidi w:val="0"/>
        <w:ind w:leftChars="0"/>
        <w:rPr>
          <w:rFonts w:hint="default"/>
          <w:lang w:val="en-US" w:eastAsia="zh-CN"/>
        </w:rPr>
      </w:pPr>
      <w:r>
        <w:rPr>
          <w:rFonts w:hint="eastAsia"/>
          <w:lang w:val="en-US" w:eastAsia="zh-CN"/>
        </w:rPr>
        <w:t xml:space="preserve">2.1 Comparison between solution 1 and solution 2 </w:t>
      </w:r>
    </w:p>
    <w:p>
      <w:pPr>
        <w:bidi w:val="0"/>
        <w:rPr>
          <w:rFonts w:hint="default"/>
          <w:lang w:val="en-US" w:eastAsia="zh-CN"/>
        </w:rPr>
      </w:pPr>
      <w:r>
        <w:rPr>
          <w:rFonts w:hint="eastAsia"/>
          <w:lang w:val="en-US" w:eastAsia="zh-CN"/>
        </w:rPr>
        <w:t>At last meeting, we made solution 2 as the working assumption on SN initiated inter-SN CPC procedure, which means that the source SN measurement configuration or/and execution condition can be updated before the CPC configuration is sent to the UE. However, there are still some open issues for the detailed procedure design, e.g. when/how to transfer the execution conditions to the MN, how to handle the inter-node coordination for source configuration update, etc. So we need some further research before making the final decision on which solution is agreed.</w:t>
      </w:r>
    </w:p>
    <w:p>
      <w:pPr>
        <w:bidi w:val="0"/>
        <w:rPr>
          <w:rFonts w:hint="default"/>
          <w:lang w:val="en-US" w:eastAsia="zh-CN"/>
        </w:rPr>
      </w:pPr>
      <w:r>
        <w:rPr>
          <w:rFonts w:hint="eastAsia"/>
          <w:lang w:val="en-US" w:eastAsia="zh-CN"/>
        </w:rPr>
        <w:t>At RAN2#114e meeting, RAN2 has also made the working assumption for solution 1 [2] as follows: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rPr>
                <w:rFonts w:eastAsia="Batang"/>
                <w:b/>
              </w:rPr>
            </w:pPr>
            <w:r>
              <w:rPr>
                <w:rFonts w:eastAsia="Batang"/>
                <w:b/>
              </w:rPr>
              <w:t>1.</w:t>
            </w:r>
            <w:r>
              <w:rPr>
                <w:rFonts w:eastAsia="Batang"/>
                <w:b/>
              </w:rPr>
              <w:tab/>
            </w:r>
            <w:r>
              <w:rPr>
                <w:rFonts w:eastAsia="Batang"/>
                <w:b/>
              </w:rPr>
              <w:t>Upon SN initiated CPC configuration, S-SN indicates the CPC candidates to MN and for each an execution condition</w:t>
            </w:r>
          </w:p>
          <w:p>
            <w:pPr>
              <w:rPr>
                <w:rFonts w:eastAsia="Batang"/>
                <w:b/>
              </w:rPr>
            </w:pPr>
            <w:r>
              <w:rPr>
                <w:rFonts w:eastAsia="Batang"/>
                <w:b/>
              </w:rPr>
              <w:t>2.</w:t>
            </w:r>
            <w:r>
              <w:rPr>
                <w:rFonts w:eastAsia="Batang"/>
                <w:b/>
              </w:rPr>
              <w:tab/>
            </w:r>
            <w:r>
              <w:rPr>
                <w:rFonts w:eastAsia="Batang"/>
                <w:b/>
              </w:rPr>
              <w:t>S-SN can provide also measurements to MN/T-SN and this may include cells that are not CPC candidates</w:t>
            </w:r>
          </w:p>
          <w:p>
            <w:pPr>
              <w:rPr>
                <w:rFonts w:eastAsia="Batang"/>
                <w:b/>
              </w:rPr>
            </w:pPr>
            <w:r>
              <w:rPr>
                <w:rFonts w:eastAsia="Batang"/>
                <w:b/>
              </w:rPr>
              <w:t>3.</w:t>
            </w:r>
            <w:r>
              <w:rPr>
                <w:rFonts w:eastAsia="Batang"/>
                <w:b/>
              </w:rPr>
              <w:tab/>
            </w:r>
            <w:r>
              <w:rPr>
                <w:rFonts w:eastAsia="Batang"/>
                <w:b/>
              </w:rPr>
              <w:t>T-SN can either accept or reject the CPC candidates suggested by S-SN (as in 1) i.e. it cannot come up with any alternative candidates</w:t>
            </w:r>
          </w:p>
          <w:p>
            <w:pPr>
              <w:rPr>
                <w:rFonts w:eastAsia="Batang"/>
                <w:b/>
              </w:rPr>
            </w:pPr>
            <w:r>
              <w:rPr>
                <w:rFonts w:eastAsia="Batang"/>
                <w:b/>
              </w:rPr>
              <w:t>4.</w:t>
            </w:r>
            <w:r>
              <w:rPr>
                <w:rFonts w:eastAsia="Batang"/>
                <w:b/>
              </w:rPr>
              <w:tab/>
            </w:r>
            <w:r>
              <w:rPr>
                <w:rFonts w:eastAsia="Batang"/>
                <w:b/>
              </w:rPr>
              <w:t>S-SN is informed about which candidates were accepted/ rejected by T-SN</w:t>
            </w:r>
          </w:p>
          <w:p>
            <w:pPr>
              <w:rPr>
                <w:rFonts w:eastAsia="Batang"/>
                <w:b/>
              </w:rPr>
            </w:pPr>
            <w:r>
              <w:rPr>
                <w:rFonts w:eastAsia="Batang"/>
                <w:b/>
              </w:rPr>
              <w:t>5.</w:t>
            </w:r>
            <w:r>
              <w:rPr>
                <w:rFonts w:eastAsia="Batang"/>
                <w:b/>
              </w:rPr>
              <w:tab/>
            </w:r>
            <w:r>
              <w:rPr>
                <w:rFonts w:eastAsia="Batang"/>
                <w:b/>
              </w:rPr>
              <w:t>S-SN can subsequently update the (measurement) configuration. FFS for execution conditions.</w:t>
            </w:r>
          </w:p>
          <w:p>
            <w:pPr>
              <w:bidi w:val="0"/>
              <w:rPr>
                <w:rFonts w:hint="eastAsia"/>
                <w:vertAlign w:val="baseline"/>
                <w:lang w:val="en-US" w:eastAsia="zh-CN"/>
              </w:rPr>
            </w:pPr>
            <w:r>
              <w:rPr>
                <w:rFonts w:eastAsia="Batang"/>
                <w:b/>
              </w:rPr>
              <w:t>6.</w:t>
            </w:r>
            <w:r>
              <w:rPr>
                <w:rFonts w:eastAsia="Batang"/>
                <w:b/>
              </w:rPr>
              <w:tab/>
            </w:r>
            <w:r>
              <w:rPr>
                <w:rFonts w:eastAsia="Batang"/>
                <w:b/>
              </w:rPr>
              <w:t>S-SN can perform this update after the CPC configuration. FFS whether to support updating during the CPC configuration (i.e. solution 2). FFS whether nested procedure is supported.</w:t>
            </w:r>
          </w:p>
        </w:tc>
      </w:tr>
    </w:tbl>
    <w:p>
      <w:pPr>
        <w:bidi w:val="0"/>
        <w:rPr>
          <w:rFonts w:hint="eastAsia"/>
          <w:lang w:val="en-US" w:eastAsia="zh-CN"/>
        </w:rPr>
      </w:pPr>
      <w:r>
        <w:rPr>
          <w:rFonts w:hint="eastAsia"/>
          <w:lang w:val="en-US" w:eastAsia="zh-CN"/>
        </w:rPr>
        <w:t>Since these two solutions are discussed for a long time, we make a comprehensive comparison between them regarding several concerned issues from the NW perspective and the UE perspective, to see the possible spec impact for each solution.</w:t>
      </w:r>
    </w:p>
    <w:p>
      <w:pPr>
        <w:bidi w:val="0"/>
        <w:rPr>
          <w:rFonts w:hint="default"/>
          <w:lang w:val="en-US" w:eastAsia="zh-CN"/>
        </w:rPr>
      </w:pPr>
      <w:r>
        <w:rPr>
          <w:rFonts w:hint="eastAsia"/>
          <w:lang w:val="en-US" w:eastAsia="zh-CN"/>
        </w:rPr>
        <w:t xml:space="preserve">Based on the general procedure for solution 1 and solution 2 from the stage-2 running CR[3][4], we discussed some remaining issues regarding different steps during CPC procedure, e.g. the transfer of execution conditions, the transfer of accepted candidate PSCells, and the update of source SN configuration . </w:t>
      </w:r>
    </w:p>
    <w:p>
      <w:pPr>
        <w:bidi w:val="0"/>
        <w:jc w:val="center"/>
        <w:rPr>
          <w:rFonts w:hint="default"/>
          <w:lang w:val="en-US" w:eastAsia="zh-CN"/>
        </w:rPr>
      </w:pPr>
      <w:r>
        <w:rPr>
          <w:rFonts w:hint="default"/>
          <w:lang w:val="en-US" w:eastAsia="zh-CN"/>
        </w:rPr>
        <w:object>
          <v:shape id="_x0000_i1025" o:spt="75" type="#_x0000_t75" style="height:287.4pt;width:400.2pt;" o:ole="t" filled="f" o:preferrelative="t" stroked="f" coordsize="21600,21600">
            <v:path/>
            <v:fill on="f" focussize="0,0"/>
            <v:stroke on="f"/>
            <v:imagedata r:id="rId8" o:title=""/>
            <o:lock v:ext="edit" aspectratio="f"/>
            <w10:wrap type="none"/>
            <w10:anchorlock/>
          </v:shape>
          <o:OLEObject Type="Embed" ProgID="Visio.Drawing.11" ShapeID="_x0000_i1025" DrawAspect="Content" ObjectID="_1468075725" r:id="rId7">
            <o:LockedField>false</o:LockedField>
          </o:OLEObject>
        </w:object>
      </w:r>
    </w:p>
    <w:p>
      <w:pPr>
        <w:bidi w:val="0"/>
        <w:jc w:val="center"/>
        <w:rPr>
          <w:rFonts w:hint="eastAsia"/>
          <w:lang w:val="en-US" w:eastAsia="zh-CN"/>
        </w:rPr>
      </w:pPr>
      <w:r>
        <w:rPr>
          <w:rFonts w:hint="eastAsia"/>
          <w:lang w:val="en-US" w:eastAsia="zh-CN"/>
        </w:rPr>
        <w:t>Fig. 1 SN initiated inter-SN CPC - solution 1</w:t>
      </w:r>
    </w:p>
    <w:p>
      <w:pPr>
        <w:bidi w:val="0"/>
        <w:jc w:val="center"/>
        <w:rPr>
          <w:rFonts w:hint="default"/>
          <w:lang w:val="en-US" w:eastAsia="zh-CN"/>
        </w:rPr>
      </w:pPr>
      <w:r>
        <w:rPr>
          <w:rFonts w:hint="default"/>
          <w:lang w:val="en-US" w:eastAsia="zh-CN"/>
        </w:rPr>
        <w:object>
          <v:shape id="_x0000_i1026" o:spt="75" type="#_x0000_t75" style="height:303.6pt;width:416.4pt;" o:ole="t" filled="f" o:preferrelative="t" stroked="f" coordsize="21600,21600">
            <v:path/>
            <v:fill on="f" focussize="0,0"/>
            <v:stroke on="f"/>
            <v:imagedata r:id="rId10" o:title=""/>
            <o:lock v:ext="edit" aspectratio="f"/>
            <w10:wrap type="none"/>
            <w10:anchorlock/>
          </v:shape>
          <o:OLEObject Type="Embed" ProgID="Visio.Drawing.11" ShapeID="_x0000_i1026" DrawAspect="Content" ObjectID="_1468075726" r:id="rId9">
            <o:LockedField>false</o:LockedField>
          </o:OLEObject>
        </w:object>
      </w:r>
    </w:p>
    <w:p>
      <w:pPr>
        <w:bidi w:val="0"/>
        <w:jc w:val="center"/>
        <w:rPr>
          <w:rFonts w:hint="eastAsia"/>
          <w:lang w:val="en-US" w:eastAsia="zh-CN"/>
        </w:rPr>
      </w:pPr>
      <w:r>
        <w:rPr>
          <w:rFonts w:hint="eastAsia"/>
          <w:lang w:val="en-US" w:eastAsia="zh-CN"/>
        </w:rPr>
        <w:t>Fig. 2 SN initiated inter-SN CPC - solution 2</w:t>
      </w:r>
    </w:p>
    <w:p>
      <w:pPr>
        <w:bidi w:val="0"/>
        <w:jc w:val="center"/>
        <w:rPr>
          <w:rFonts w:hint="default"/>
          <w:b/>
          <w:bCs/>
          <w:lang w:val="en-US" w:eastAsia="zh-CN"/>
        </w:rPr>
      </w:pPr>
      <w:r>
        <w:rPr>
          <w:rFonts w:hint="eastAsia"/>
          <w:b/>
          <w:bCs/>
          <w:lang w:val="en-US" w:eastAsia="zh-CN"/>
        </w:rPr>
        <w:t>Table 1: the comparison between solution 1 and solution 2 from the NW perspective</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32"/>
        <w:gridCol w:w="3332"/>
        <w:gridCol w:w="3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32" w:type="dxa"/>
          </w:tcPr>
          <w:p>
            <w:pPr>
              <w:bidi w:val="0"/>
              <w:rPr>
                <w:rFonts w:hint="default"/>
                <w:vertAlign w:val="baseline"/>
                <w:lang w:val="en-US" w:eastAsia="zh-CN"/>
              </w:rPr>
            </w:pPr>
          </w:p>
        </w:tc>
        <w:tc>
          <w:tcPr>
            <w:tcW w:w="3332" w:type="dxa"/>
          </w:tcPr>
          <w:p>
            <w:pPr>
              <w:bidi w:val="0"/>
              <w:rPr>
                <w:rFonts w:hint="default"/>
                <w:vertAlign w:val="baseline"/>
                <w:lang w:val="en-US" w:eastAsia="zh-CN"/>
              </w:rPr>
            </w:pPr>
            <w:r>
              <w:rPr>
                <w:rFonts w:hint="eastAsia"/>
                <w:vertAlign w:val="baseline"/>
                <w:lang w:val="en-US" w:eastAsia="zh-CN"/>
              </w:rPr>
              <w:t>Solution 1</w:t>
            </w:r>
          </w:p>
        </w:tc>
        <w:tc>
          <w:tcPr>
            <w:tcW w:w="3333" w:type="dxa"/>
          </w:tcPr>
          <w:p>
            <w:pPr>
              <w:bidi w:val="0"/>
              <w:rPr>
                <w:rFonts w:hint="default"/>
                <w:vertAlign w:val="baseline"/>
                <w:lang w:val="en-US" w:eastAsia="zh-CN"/>
              </w:rPr>
            </w:pPr>
            <w:r>
              <w:rPr>
                <w:rFonts w:hint="eastAsia"/>
                <w:vertAlign w:val="baseline"/>
                <w:lang w:val="en-US" w:eastAsia="zh-CN"/>
              </w:rPr>
              <w:t>Solution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32" w:type="dxa"/>
          </w:tcPr>
          <w:p>
            <w:pPr>
              <w:bidi w:val="0"/>
              <w:rPr>
                <w:rFonts w:hint="default"/>
                <w:vertAlign w:val="baseline"/>
                <w:lang w:val="en-US" w:eastAsia="zh-CN"/>
              </w:rPr>
            </w:pPr>
            <w:r>
              <w:rPr>
                <w:rFonts w:hint="eastAsia"/>
                <w:vertAlign w:val="baseline"/>
                <w:lang w:val="en-US" w:eastAsia="zh-CN"/>
              </w:rPr>
              <w:t>The transfer of execution conditions from S-SN to MN</w:t>
            </w:r>
          </w:p>
        </w:tc>
        <w:tc>
          <w:tcPr>
            <w:tcW w:w="3332" w:type="dxa"/>
          </w:tcPr>
          <w:p>
            <w:pPr>
              <w:bidi w:val="0"/>
              <w:rPr>
                <w:rFonts w:hint="default"/>
                <w:vertAlign w:val="baseline"/>
                <w:lang w:val="en-US" w:eastAsia="zh-CN"/>
              </w:rPr>
            </w:pPr>
            <w:r>
              <w:rPr>
                <w:rFonts w:hint="eastAsia"/>
                <w:vertAlign w:val="baseline"/>
                <w:lang w:val="en-US" w:eastAsia="zh-CN"/>
              </w:rPr>
              <w:t>The suggested candidate PSCells and execution conditions are mandatory provided in step 1</w:t>
            </w:r>
          </w:p>
        </w:tc>
        <w:tc>
          <w:tcPr>
            <w:tcW w:w="3333" w:type="dxa"/>
          </w:tcPr>
          <w:p>
            <w:pPr>
              <w:bidi w:val="0"/>
              <w:rPr>
                <w:rFonts w:hint="default"/>
                <w:vertAlign w:val="baseline"/>
                <w:lang w:val="en-US" w:eastAsia="zh-CN"/>
              </w:rPr>
            </w:pPr>
            <w:r>
              <w:rPr>
                <w:rFonts w:hint="eastAsia"/>
                <w:vertAlign w:val="baseline"/>
                <w:lang w:val="en-US" w:eastAsia="zh-CN"/>
              </w:rPr>
              <w:t>2-1: The suggested candidate PSCells and optional execution conditions are provided in step 1. And the updated/new execution conditions can be provided in step 5 (i.e. after knowing the accepted candidate PSCells)</w:t>
            </w:r>
          </w:p>
          <w:p>
            <w:pPr>
              <w:bidi w:val="0"/>
              <w:rPr>
                <w:rFonts w:hint="default"/>
                <w:vertAlign w:val="baseline"/>
                <w:lang w:val="en-US" w:eastAsia="zh-CN"/>
              </w:rPr>
            </w:pPr>
            <w:r>
              <w:rPr>
                <w:rFonts w:hint="eastAsia"/>
                <w:vertAlign w:val="baseline"/>
                <w:lang w:val="en-US" w:eastAsia="zh-CN"/>
              </w:rPr>
              <w:t>2-2: The execution conditions is only provided in step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32" w:type="dxa"/>
          </w:tcPr>
          <w:p>
            <w:pPr>
              <w:bidi w:val="0"/>
              <w:rPr>
                <w:rFonts w:hint="default"/>
                <w:vertAlign w:val="baseline"/>
                <w:lang w:val="en-US" w:eastAsia="zh-CN"/>
              </w:rPr>
            </w:pPr>
            <w:r>
              <w:rPr>
                <w:rFonts w:hint="eastAsia"/>
                <w:vertAlign w:val="baseline"/>
                <w:lang w:val="en-US" w:eastAsia="zh-CN"/>
              </w:rPr>
              <w:t>The transfer of accepted candidate PSCells from MN to S-SN</w:t>
            </w:r>
          </w:p>
        </w:tc>
        <w:tc>
          <w:tcPr>
            <w:tcW w:w="3332" w:type="dxa"/>
          </w:tcPr>
          <w:p>
            <w:pPr>
              <w:bidi w:val="0"/>
              <w:rPr>
                <w:rFonts w:hint="eastAsia"/>
                <w:vertAlign w:val="baseline"/>
                <w:lang w:val="en-US" w:eastAsia="zh-CN"/>
              </w:rPr>
            </w:pPr>
            <w:r>
              <w:rPr>
                <w:rFonts w:hint="eastAsia"/>
                <w:vertAlign w:val="baseline"/>
                <w:lang w:val="en-US" w:eastAsia="zh-CN"/>
              </w:rPr>
              <w:t>After MN sends CPC configuration to the UE (i.e. step 4)</w:t>
            </w:r>
          </w:p>
          <w:p>
            <w:pPr>
              <w:bidi w:val="0"/>
              <w:rPr>
                <w:rFonts w:hint="default"/>
                <w:vertAlign w:val="baseline"/>
                <w:lang w:val="en-US" w:eastAsia="zh-CN"/>
              </w:rPr>
            </w:pPr>
            <w:r>
              <w:rPr>
                <w:rFonts w:hint="eastAsia"/>
                <w:color w:val="00B050"/>
                <w:vertAlign w:val="baseline"/>
                <w:lang w:val="en-US" w:eastAsia="zh-CN"/>
              </w:rPr>
              <w:t xml:space="preserve">Note: RAN3#113e meeting agreed to introduce </w:t>
            </w:r>
            <w:r>
              <w:rPr>
                <w:rFonts w:hint="default"/>
                <w:color w:val="00B050"/>
                <w:vertAlign w:val="baseline"/>
                <w:lang w:val="en-US" w:eastAsia="zh-CN"/>
              </w:rPr>
              <w:t>“</w:t>
            </w:r>
            <w:r>
              <w:rPr>
                <w:rFonts w:hint="eastAsia"/>
                <w:color w:val="00B050"/>
                <w:vertAlign w:val="baseline"/>
                <w:lang w:val="en-US" w:eastAsia="zh-CN"/>
              </w:rPr>
              <w:t>List of Prepared PSCell ID</w:t>
            </w:r>
            <w:r>
              <w:rPr>
                <w:rFonts w:hint="default"/>
                <w:color w:val="00B050"/>
                <w:vertAlign w:val="baseline"/>
                <w:lang w:val="en-US" w:eastAsia="zh-CN"/>
              </w:rPr>
              <w:t>”</w:t>
            </w:r>
            <w:r>
              <w:rPr>
                <w:rFonts w:hint="eastAsia"/>
                <w:color w:val="00B050"/>
                <w:vertAlign w:val="baseline"/>
                <w:lang w:val="en-US" w:eastAsia="zh-CN"/>
              </w:rPr>
              <w:t xml:space="preserve"> in SN Change Confirm. So RAN3 has worked on this for solution 1.</w:t>
            </w:r>
          </w:p>
        </w:tc>
        <w:tc>
          <w:tcPr>
            <w:tcW w:w="3333" w:type="dxa"/>
          </w:tcPr>
          <w:p>
            <w:pPr>
              <w:bidi w:val="0"/>
              <w:rPr>
                <w:rFonts w:hint="default"/>
                <w:vertAlign w:val="baseline"/>
                <w:lang w:val="en-US" w:eastAsia="zh-CN"/>
              </w:rPr>
            </w:pPr>
            <w:r>
              <w:rPr>
                <w:rFonts w:hint="eastAsia"/>
                <w:vertAlign w:val="baseline"/>
                <w:lang w:val="en-US" w:eastAsia="zh-CN"/>
              </w:rPr>
              <w:t>After MN knows the accepted candidate PSCells (i.e. step 3) but before MN sends CPC configuration to the UE</w:t>
            </w:r>
          </w:p>
          <w:p>
            <w:pPr>
              <w:bidi w:val="0"/>
              <w:rPr>
                <w:rFonts w:hint="default"/>
                <w:vertAlign w:val="baseline"/>
                <w:lang w:val="en-US" w:eastAsia="zh-CN"/>
              </w:rPr>
            </w:pPr>
            <w:r>
              <w:rPr>
                <w:rFonts w:hint="eastAsia"/>
                <w:color w:val="00B050"/>
                <w:vertAlign w:val="baseline"/>
                <w:lang w:val="en-US" w:eastAsia="zh-CN"/>
              </w:rPr>
              <w:t>FFS: which message can be used (up to RAN3 decision)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32" w:type="dxa"/>
          </w:tcPr>
          <w:p>
            <w:pPr>
              <w:bidi w:val="0"/>
              <w:rPr>
                <w:rFonts w:hint="default"/>
                <w:vertAlign w:val="baseline"/>
                <w:lang w:val="en-US" w:eastAsia="zh-CN"/>
              </w:rPr>
            </w:pPr>
            <w:r>
              <w:rPr>
                <w:rFonts w:hint="eastAsia"/>
                <w:vertAlign w:val="baseline"/>
                <w:lang w:val="en-US" w:eastAsia="zh-CN"/>
              </w:rPr>
              <w:t>The update of S-SN configuration</w:t>
            </w:r>
          </w:p>
        </w:tc>
        <w:tc>
          <w:tcPr>
            <w:tcW w:w="3332" w:type="dxa"/>
          </w:tcPr>
          <w:p>
            <w:pPr>
              <w:bidi w:val="0"/>
              <w:rPr>
                <w:rFonts w:hint="eastAsia"/>
                <w:vertAlign w:val="baseline"/>
                <w:lang w:val="en-US" w:eastAsia="zh-CN"/>
              </w:rPr>
            </w:pPr>
            <w:r>
              <w:rPr>
                <w:rFonts w:hint="eastAsia"/>
                <w:vertAlign w:val="baseline"/>
                <w:lang w:val="en-US" w:eastAsia="zh-CN"/>
              </w:rPr>
              <w:t xml:space="preserve">A separate procedure is performed after MN sends CPC configuration to the UE </w:t>
            </w:r>
          </w:p>
          <w:p>
            <w:pPr>
              <w:bidi w:val="0"/>
              <w:rPr>
                <w:rFonts w:hint="default"/>
                <w:vertAlign w:val="baseline"/>
                <w:lang w:val="en-US" w:eastAsia="zh-CN"/>
              </w:rPr>
            </w:pPr>
            <w:r>
              <w:rPr>
                <w:rFonts w:hint="eastAsia"/>
                <w:color w:val="00B050"/>
                <w:vertAlign w:val="baseline"/>
                <w:lang w:val="en-US" w:eastAsia="zh-CN"/>
              </w:rPr>
              <w:t>Note: It can reuse SN modification procedure or CPAC modification procedure. So it seems no additional work on RAN3.</w:t>
            </w:r>
          </w:p>
        </w:tc>
        <w:tc>
          <w:tcPr>
            <w:tcW w:w="3333" w:type="dxa"/>
          </w:tcPr>
          <w:p>
            <w:pPr>
              <w:bidi w:val="0"/>
              <w:rPr>
                <w:rFonts w:hint="eastAsia"/>
                <w:vertAlign w:val="baseline"/>
                <w:lang w:val="en-US" w:eastAsia="zh-CN"/>
              </w:rPr>
            </w:pPr>
            <w:r>
              <w:rPr>
                <w:rFonts w:hint="eastAsia"/>
                <w:vertAlign w:val="baseline"/>
                <w:lang w:val="en-US" w:eastAsia="zh-CN"/>
              </w:rPr>
              <w:t xml:space="preserve">A nested procedure (i.e step 5 and 6) is performed before MN sends CPC configuration to the UE </w:t>
            </w:r>
          </w:p>
          <w:p>
            <w:pPr>
              <w:bidi w:val="0"/>
              <w:rPr>
                <w:rFonts w:hint="eastAsia"/>
                <w:color w:val="00B050"/>
                <w:vertAlign w:val="baseline"/>
                <w:lang w:val="en-US" w:eastAsia="zh-CN"/>
              </w:rPr>
            </w:pPr>
            <w:r>
              <w:rPr>
                <w:rFonts w:hint="eastAsia"/>
                <w:color w:val="00B050"/>
                <w:vertAlign w:val="baseline"/>
                <w:lang w:val="en-US" w:eastAsia="zh-CN"/>
              </w:rPr>
              <w:t>FFS: which message/procedure (e.g. SN modification procedure or new defined procedure) can be used (up to RAN3 decision)</w:t>
            </w:r>
          </w:p>
          <w:p>
            <w:pPr>
              <w:bidi w:val="0"/>
              <w:rPr>
                <w:rFonts w:hint="default"/>
                <w:vertAlign w:val="baseline"/>
                <w:lang w:val="en-US" w:eastAsia="zh-CN"/>
              </w:rPr>
            </w:pPr>
            <w:r>
              <w:rPr>
                <w:rFonts w:hint="eastAsia"/>
                <w:b/>
                <w:bCs/>
                <w:vertAlign w:val="baseline"/>
                <w:lang w:val="en-US" w:eastAsia="zh-CN"/>
              </w:rPr>
              <w:t>Limitation:</w:t>
            </w:r>
            <w:r>
              <w:rPr>
                <w:rFonts w:hint="eastAsia"/>
                <w:vertAlign w:val="baseline"/>
                <w:lang w:val="en-US" w:eastAsia="zh-CN"/>
              </w:rPr>
              <w:t xml:space="preserve"> the re-negotiation procedure for S-SN update during the nested procedure is not allowed</w:t>
            </w:r>
          </w:p>
        </w:tc>
      </w:tr>
    </w:tbl>
    <w:p>
      <w:pPr>
        <w:bidi w:val="0"/>
        <w:jc w:val="both"/>
        <w:rPr>
          <w:rFonts w:hint="default"/>
          <w:b w:val="0"/>
          <w:bCs w:val="0"/>
          <w:lang w:val="en-US" w:eastAsia="zh-CN"/>
        </w:rPr>
      </w:pPr>
      <w:r>
        <w:rPr>
          <w:rFonts w:hint="eastAsia"/>
          <w:b w:val="0"/>
          <w:bCs w:val="0"/>
          <w:lang w:val="en-US" w:eastAsia="zh-CN"/>
        </w:rPr>
        <w:t>And the UE behaviour/performance for each solution is analyzed in Table 2.</w:t>
      </w:r>
    </w:p>
    <w:p>
      <w:pPr>
        <w:bidi w:val="0"/>
        <w:jc w:val="center"/>
        <w:rPr>
          <w:rFonts w:hint="default"/>
          <w:b/>
          <w:bCs/>
          <w:lang w:val="en-US" w:eastAsia="zh-CN"/>
        </w:rPr>
      </w:pPr>
      <w:r>
        <w:rPr>
          <w:rFonts w:hint="eastAsia"/>
          <w:b/>
          <w:bCs/>
          <w:lang w:val="en-US" w:eastAsia="zh-CN"/>
        </w:rPr>
        <w:t>Table 2: the comparison between solution 1 and solution 2 from the UE perspective</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32"/>
        <w:gridCol w:w="3332"/>
        <w:gridCol w:w="3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32" w:type="dxa"/>
          </w:tcPr>
          <w:p>
            <w:pPr>
              <w:bidi w:val="0"/>
              <w:rPr>
                <w:rFonts w:hint="default"/>
                <w:vertAlign w:val="baseline"/>
                <w:lang w:val="en-US" w:eastAsia="zh-CN"/>
              </w:rPr>
            </w:pPr>
          </w:p>
        </w:tc>
        <w:tc>
          <w:tcPr>
            <w:tcW w:w="3332" w:type="dxa"/>
          </w:tcPr>
          <w:p>
            <w:pPr>
              <w:bidi w:val="0"/>
              <w:rPr>
                <w:rFonts w:hint="default"/>
                <w:vertAlign w:val="baseline"/>
                <w:lang w:val="en-US" w:eastAsia="zh-CN"/>
              </w:rPr>
            </w:pPr>
            <w:r>
              <w:rPr>
                <w:rFonts w:hint="eastAsia"/>
                <w:vertAlign w:val="baseline"/>
                <w:lang w:val="en-US" w:eastAsia="zh-CN"/>
              </w:rPr>
              <w:t>Solution 1</w:t>
            </w:r>
          </w:p>
        </w:tc>
        <w:tc>
          <w:tcPr>
            <w:tcW w:w="3333" w:type="dxa"/>
          </w:tcPr>
          <w:p>
            <w:pPr>
              <w:bidi w:val="0"/>
              <w:rPr>
                <w:rFonts w:hint="default"/>
                <w:vertAlign w:val="baseline"/>
                <w:lang w:val="en-US" w:eastAsia="zh-CN"/>
              </w:rPr>
            </w:pPr>
            <w:r>
              <w:rPr>
                <w:rFonts w:hint="eastAsia"/>
                <w:vertAlign w:val="baseline"/>
                <w:lang w:val="en-US" w:eastAsia="zh-CN"/>
              </w:rPr>
              <w:t>Solution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32" w:type="dxa"/>
          </w:tcPr>
          <w:p>
            <w:pPr>
              <w:bidi w:val="0"/>
              <w:rPr>
                <w:rFonts w:hint="default"/>
                <w:vertAlign w:val="baseline"/>
                <w:lang w:val="en-US" w:eastAsia="zh-CN"/>
              </w:rPr>
            </w:pPr>
            <w:r>
              <w:rPr>
                <w:rFonts w:hint="eastAsia"/>
                <w:vertAlign w:val="baseline"/>
                <w:lang w:val="en-US" w:eastAsia="zh-CN"/>
              </w:rPr>
              <w:t xml:space="preserve">Handling on </w:t>
            </w:r>
            <w:r>
              <w:rPr>
                <w:rFonts w:hint="eastAsia"/>
                <w:i/>
                <w:iCs/>
                <w:vertAlign w:val="baseline"/>
                <w:lang w:val="en-US" w:eastAsia="zh-CN"/>
              </w:rPr>
              <w:t>measID</w:t>
            </w:r>
            <w:r>
              <w:rPr>
                <w:rFonts w:hint="eastAsia"/>
                <w:vertAlign w:val="baseline"/>
                <w:lang w:val="en-US" w:eastAsia="zh-CN"/>
              </w:rPr>
              <w:t xml:space="preserve"> related with CPC that are not linked with the selected candidate PSCells</w:t>
            </w:r>
          </w:p>
        </w:tc>
        <w:tc>
          <w:tcPr>
            <w:tcW w:w="3332" w:type="dxa"/>
          </w:tcPr>
          <w:p>
            <w:pPr>
              <w:bidi w:val="0"/>
              <w:rPr>
                <w:rFonts w:hint="default"/>
                <w:vertAlign w:val="baseline"/>
                <w:lang w:val="en-US" w:eastAsia="zh-CN"/>
              </w:rPr>
            </w:pPr>
            <w:r>
              <w:rPr>
                <w:rFonts w:hint="eastAsia"/>
                <w:vertAlign w:val="baseline"/>
                <w:lang w:val="en-US" w:eastAsia="zh-CN"/>
              </w:rPr>
              <w:t xml:space="preserve">Need to </w:t>
            </w:r>
            <w:r>
              <w:rPr>
                <w:rFonts w:hint="default"/>
                <w:vertAlign w:val="baseline"/>
                <w:lang w:val="en-US" w:eastAsia="zh-CN"/>
              </w:rPr>
              <w:t xml:space="preserve">specify that UE </w:t>
            </w:r>
            <w:r>
              <w:rPr>
                <w:rFonts w:hint="eastAsia"/>
                <w:vertAlign w:val="baseline"/>
                <w:lang w:val="en-US" w:eastAsia="zh-CN"/>
              </w:rPr>
              <w:t>is not required</w:t>
            </w:r>
            <w:r>
              <w:rPr>
                <w:rFonts w:hint="default"/>
                <w:vertAlign w:val="baseline"/>
                <w:lang w:val="en-US" w:eastAsia="zh-CN"/>
              </w:rPr>
              <w:t xml:space="preserve"> to measure </w:t>
            </w:r>
            <w:r>
              <w:rPr>
                <w:rFonts w:hint="default"/>
                <w:i/>
                <w:iCs/>
                <w:vertAlign w:val="baseline"/>
                <w:lang w:val="en-US" w:eastAsia="zh-CN"/>
              </w:rPr>
              <w:t>measId(s)</w:t>
            </w:r>
            <w:r>
              <w:rPr>
                <w:rFonts w:hint="default"/>
                <w:vertAlign w:val="baseline"/>
                <w:lang w:val="en-US" w:eastAsia="zh-CN"/>
              </w:rPr>
              <w:t xml:space="preserve"> </w:t>
            </w:r>
            <w:r>
              <w:rPr>
                <w:rFonts w:hint="eastAsia"/>
                <w:vertAlign w:val="baseline"/>
                <w:lang w:val="en-US" w:eastAsia="zh-CN"/>
              </w:rPr>
              <w:t xml:space="preserve">related with CPC </w:t>
            </w:r>
            <w:r>
              <w:rPr>
                <w:rFonts w:hint="default"/>
                <w:vertAlign w:val="baseline"/>
                <w:lang w:val="en-US" w:eastAsia="zh-CN"/>
              </w:rPr>
              <w:t xml:space="preserve">that are not linked </w:t>
            </w:r>
            <w:r>
              <w:rPr>
                <w:rFonts w:hint="eastAsia"/>
                <w:vertAlign w:val="baseline"/>
                <w:lang w:val="en-US" w:eastAsia="zh-CN"/>
              </w:rPr>
              <w:t>with</w:t>
            </w:r>
            <w:r>
              <w:rPr>
                <w:rFonts w:hint="default"/>
                <w:vertAlign w:val="baseline"/>
                <w:lang w:val="en-US" w:eastAsia="zh-CN"/>
              </w:rPr>
              <w:t xml:space="preserve"> any candidate</w:t>
            </w:r>
            <w:r>
              <w:rPr>
                <w:rFonts w:hint="eastAsia"/>
                <w:vertAlign w:val="baseline"/>
                <w:lang w:val="en-US" w:eastAsia="zh-CN"/>
              </w:rPr>
              <w:t xml:space="preserve"> PSCells.</w:t>
            </w:r>
          </w:p>
        </w:tc>
        <w:tc>
          <w:tcPr>
            <w:tcW w:w="3333" w:type="dxa"/>
          </w:tcPr>
          <w:p>
            <w:pPr>
              <w:bidi w:val="0"/>
              <w:rPr>
                <w:rFonts w:hint="default"/>
                <w:vertAlign w:val="baseline"/>
                <w:lang w:val="en-US" w:eastAsia="zh-CN"/>
              </w:rPr>
            </w:pPr>
            <w:r>
              <w:rPr>
                <w:rFonts w:hint="eastAsia"/>
                <w:vertAlign w:val="baseline"/>
                <w:lang w:val="en-US" w:eastAsia="zh-CN"/>
              </w:rPr>
              <w:t>No special action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32" w:type="dxa"/>
          </w:tcPr>
          <w:p>
            <w:pPr>
              <w:bidi w:val="0"/>
              <w:rPr>
                <w:rFonts w:hint="default"/>
                <w:vertAlign w:val="baseline"/>
                <w:lang w:val="en-US" w:eastAsia="zh-CN"/>
              </w:rPr>
            </w:pPr>
            <w:r>
              <w:rPr>
                <w:rFonts w:hint="eastAsia"/>
                <w:vertAlign w:val="baseline"/>
                <w:lang w:val="en-US" w:eastAsia="zh-CN"/>
              </w:rPr>
              <w:t xml:space="preserve">Handling on measurement gap which is not needed according to the accepted candidate PSCells by T-SN  </w:t>
            </w:r>
          </w:p>
        </w:tc>
        <w:tc>
          <w:tcPr>
            <w:tcW w:w="3332" w:type="dxa"/>
          </w:tcPr>
          <w:p>
            <w:pPr>
              <w:bidi w:val="0"/>
              <w:rPr>
                <w:rFonts w:hint="eastAsia"/>
                <w:vertAlign w:val="baseline"/>
                <w:lang w:val="en-US" w:eastAsia="zh-CN"/>
              </w:rPr>
            </w:pPr>
            <w:r>
              <w:rPr>
                <w:rFonts w:hint="eastAsia"/>
                <w:vertAlign w:val="baseline"/>
                <w:lang w:val="en-US" w:eastAsia="zh-CN"/>
              </w:rPr>
              <w:t>No special action is specified, i.e. the UE still uses the measurement gap before receiving the updated measurement gap configuration from the NW.</w:t>
            </w:r>
          </w:p>
          <w:p>
            <w:pPr>
              <w:bidi w:val="0"/>
              <w:rPr>
                <w:rFonts w:hint="eastAsia"/>
                <w:color w:val="0070C0"/>
                <w:vertAlign w:val="baseline"/>
                <w:lang w:val="en-US" w:eastAsia="zh-CN"/>
              </w:rPr>
            </w:pPr>
            <w:r>
              <w:rPr>
                <w:rFonts w:hint="eastAsia"/>
                <w:color w:val="0070C0"/>
                <w:vertAlign w:val="baseline"/>
                <w:lang w:val="en-US" w:eastAsia="zh-CN"/>
              </w:rPr>
              <w:t>Note: The UE performance loss is limited since the useless measurement gap may happen in a corner case [5]:</w:t>
            </w:r>
          </w:p>
          <w:p>
            <w:pPr>
              <w:bidi w:val="0"/>
              <w:rPr>
                <w:rFonts w:hint="eastAsia"/>
                <w:color w:val="0070C0"/>
                <w:vertAlign w:val="baseline"/>
                <w:lang w:val="en-US" w:eastAsia="zh-CN"/>
              </w:rPr>
            </w:pPr>
            <w:r>
              <w:rPr>
                <w:rFonts w:hint="eastAsia"/>
                <w:color w:val="0070C0"/>
                <w:vertAlign w:val="baseline"/>
                <w:lang w:val="en-US" w:eastAsia="zh-CN"/>
              </w:rPr>
              <w:t>- (NG)EN-DC is configured, S-SN works on FR2 and per-FR measurement gap is configured, and</w:t>
            </w:r>
          </w:p>
          <w:p>
            <w:pPr>
              <w:bidi w:val="0"/>
              <w:rPr>
                <w:rFonts w:hint="default"/>
                <w:vertAlign w:val="baseline"/>
                <w:lang w:val="en-US" w:eastAsia="zh-CN"/>
              </w:rPr>
            </w:pPr>
            <w:r>
              <w:rPr>
                <w:rFonts w:hint="eastAsia"/>
                <w:color w:val="0070C0"/>
                <w:vertAlign w:val="baseline"/>
                <w:lang w:val="en-US" w:eastAsia="zh-CN"/>
              </w:rPr>
              <w:t>- The FR2-gap is not required for both the candidate cells determined by T-SN and the normal RRM measurements.</w:t>
            </w:r>
          </w:p>
        </w:tc>
        <w:tc>
          <w:tcPr>
            <w:tcW w:w="3333" w:type="dxa"/>
          </w:tcPr>
          <w:p>
            <w:pPr>
              <w:bidi w:val="0"/>
              <w:rPr>
                <w:rFonts w:hint="default"/>
                <w:vertAlign w:val="baseline"/>
                <w:lang w:val="en-US" w:eastAsia="zh-CN"/>
              </w:rPr>
            </w:pPr>
            <w:r>
              <w:rPr>
                <w:rFonts w:hint="eastAsia"/>
                <w:vertAlign w:val="baseline"/>
                <w:lang w:val="en-US" w:eastAsia="zh-CN"/>
              </w:rPr>
              <w:t>No special action is needed.</w:t>
            </w:r>
          </w:p>
        </w:tc>
      </w:tr>
    </w:tbl>
    <w:p>
      <w:pPr>
        <w:bidi w:val="0"/>
        <w:rPr>
          <w:rFonts w:hint="eastAsia"/>
          <w:lang w:val="en-US" w:eastAsia="zh-CN"/>
        </w:rPr>
      </w:pPr>
      <w:r>
        <w:rPr>
          <w:rFonts w:hint="eastAsia"/>
          <w:lang w:val="en-US" w:eastAsia="zh-CN"/>
        </w:rPr>
        <w:t>According to the comparison above, the RAN2 workload on solution 1 and solution 2 is almost equal, except that solution 1 needs to specify additional action for the useless measID(s), which is relative simple. But the solution 2 needs more inter-node interaction during CPC preparation phase, which may introduce some additional work on RAN3, e.g. to define the message/procedure to update the S-SN configuration before MN sends CPC configuration to the UE. Taking the RAN3 workload into account, we suggest to let RAN3 discuss and decide which solution can be adopted for SN initiated inter-SN CPC.</w:t>
      </w:r>
    </w:p>
    <w:p>
      <w:pPr>
        <w:bidi w:val="0"/>
        <w:rPr>
          <w:rFonts w:hint="default"/>
          <w:i/>
          <w:iCs/>
          <w:lang w:val="en-US" w:eastAsia="zh-CN"/>
        </w:rPr>
      </w:pPr>
      <w:r>
        <w:rPr>
          <w:rFonts w:hint="eastAsia"/>
          <w:i/>
          <w:iCs/>
          <w:lang w:val="en-US" w:eastAsia="zh-CN"/>
        </w:rPr>
        <w:t xml:space="preserve">Observation 1: The RAN2 workload on solution 1 and solution 2 is almost equal. But solution 2 may need more RAN3 work to design the message/procedure on update of S-SN configuration during the CPC preparation. </w:t>
      </w:r>
    </w:p>
    <w:p>
      <w:pPr>
        <w:bidi w:val="0"/>
        <w:rPr>
          <w:rFonts w:hint="default"/>
          <w:lang w:val="en-US" w:eastAsia="zh-CN"/>
        </w:rPr>
      </w:pPr>
      <w:r>
        <w:rPr>
          <w:rFonts w:hint="eastAsia"/>
          <w:lang w:val="en-US" w:eastAsia="zh-CN"/>
        </w:rPr>
        <w:t>Although it</w:t>
      </w:r>
      <w:r>
        <w:rPr>
          <w:rFonts w:hint="default"/>
          <w:lang w:val="en-US" w:eastAsia="zh-CN"/>
        </w:rPr>
        <w:t>’</w:t>
      </w:r>
      <w:r>
        <w:rPr>
          <w:rFonts w:hint="eastAsia"/>
          <w:lang w:val="en-US" w:eastAsia="zh-CN"/>
        </w:rPr>
        <w:t xml:space="preserve">s agreed to inform RAN3 about the working assumption on solution 2 and take their feedback into account at last meeting, the working assumption is not included in the reply LS to RAN3[6]. Thus, we propose to send a LS to RAN3 in this meeting, to inform them about the potential RAN3 work on solution 2 and ask them to make the decision on which solution is adopted. </w:t>
      </w:r>
    </w:p>
    <w:p>
      <w:pPr>
        <w:bidi w:val="0"/>
        <w:rPr>
          <w:rFonts w:hint="eastAsia"/>
          <w:b/>
          <w:bCs/>
          <w:lang w:val="en-US" w:eastAsia="zh-CN"/>
        </w:rPr>
      </w:pPr>
      <w:r>
        <w:rPr>
          <w:rFonts w:hint="eastAsia"/>
          <w:b/>
          <w:bCs/>
          <w:lang w:val="en-US" w:eastAsia="zh-CN"/>
        </w:rPr>
        <w:t>Proposal 1: Send LS to RAN3 to inform them about the potential RAN3 work on solution 2 and ask them to make the decision on which solution is adopted.</w:t>
      </w:r>
    </w:p>
    <w:p>
      <w:pPr>
        <w:pStyle w:val="5"/>
        <w:numPr>
          <w:ilvl w:val="1"/>
          <w:numId w:val="0"/>
        </w:numPr>
        <w:bidi w:val="0"/>
        <w:ind w:leftChars="0"/>
        <w:rPr>
          <w:rFonts w:hint="eastAsia" w:cs="Times New Roman"/>
          <w:b w:val="0"/>
          <w:bCs/>
          <w:i w:val="0"/>
          <w:iCs/>
          <w:sz w:val="21"/>
          <w:szCs w:val="21"/>
          <w:u w:val="none"/>
          <w:lang w:val="en-US" w:eastAsia="zh-CN"/>
        </w:rPr>
      </w:pPr>
      <w:r>
        <w:rPr>
          <w:rFonts w:hint="eastAsia"/>
          <w:lang w:val="en-US" w:eastAsia="zh-CN"/>
        </w:rPr>
        <w:t>2.2 Remaining issues on inter-node RRC message design</w:t>
      </w:r>
    </w:p>
    <w:p>
      <w:pPr>
        <w:widowControl w:val="0"/>
        <w:numPr>
          <w:ilvl w:val="0"/>
          <w:numId w:val="0"/>
        </w:numPr>
        <w:ind w:leftChars="0"/>
        <w:jc w:val="both"/>
        <w:rPr>
          <w:rFonts w:hint="default" w:cs="Times New Roman"/>
          <w:b w:val="0"/>
          <w:bCs/>
          <w:i w:val="0"/>
          <w:iCs/>
          <w:sz w:val="21"/>
          <w:szCs w:val="21"/>
          <w:u w:val="none"/>
          <w:lang w:val="en-US" w:eastAsia="zh-CN"/>
        </w:rPr>
      </w:pPr>
      <w:r>
        <w:rPr>
          <w:rFonts w:hint="eastAsia" w:cs="Times New Roman"/>
          <w:b w:val="0"/>
          <w:bCs/>
          <w:i w:val="0"/>
          <w:iCs/>
          <w:sz w:val="21"/>
          <w:szCs w:val="21"/>
          <w:u w:val="none"/>
          <w:lang w:val="en-US" w:eastAsia="zh-CN"/>
        </w:rPr>
        <w:t>At last meeting, it</w:t>
      </w:r>
      <w:r>
        <w:rPr>
          <w:rFonts w:hint="default" w:cs="Times New Roman"/>
          <w:b w:val="0"/>
          <w:bCs/>
          <w:i w:val="0"/>
          <w:iCs/>
          <w:sz w:val="21"/>
          <w:szCs w:val="21"/>
          <w:u w:val="none"/>
          <w:lang w:val="en-US" w:eastAsia="zh-CN"/>
        </w:rPr>
        <w:t>’</w:t>
      </w:r>
      <w:r>
        <w:rPr>
          <w:rFonts w:hint="eastAsia" w:cs="Times New Roman"/>
          <w:b w:val="0"/>
          <w:bCs/>
          <w:i w:val="0"/>
          <w:iCs/>
          <w:sz w:val="21"/>
          <w:szCs w:val="21"/>
          <w:u w:val="none"/>
          <w:lang w:val="en-US" w:eastAsia="zh-CN"/>
        </w:rPr>
        <w:t xml:space="preserve">s agreed that the MN associates the execution condition configuration to an </w:t>
      </w:r>
      <w:r>
        <w:rPr>
          <w:rFonts w:hint="eastAsia" w:cs="Times New Roman"/>
          <w:b w:val="0"/>
          <w:bCs/>
          <w:i/>
          <w:iCs w:val="0"/>
          <w:sz w:val="21"/>
          <w:szCs w:val="21"/>
          <w:u w:val="none"/>
          <w:lang w:val="en-US" w:eastAsia="zh-CN"/>
        </w:rPr>
        <w:t>RRCReconfiguration</w:t>
      </w:r>
      <w:r>
        <w:rPr>
          <w:rFonts w:hint="eastAsia" w:cs="Times New Roman"/>
          <w:b w:val="0"/>
          <w:bCs/>
          <w:i w:val="0"/>
          <w:iCs/>
          <w:sz w:val="21"/>
          <w:szCs w:val="21"/>
          <w:u w:val="none"/>
          <w:lang w:val="en-US" w:eastAsia="zh-CN"/>
        </w:rPr>
        <w:t xml:space="preserve"> message provided by the target SN. So it seems no much need to transfer the execution conditions to the target SN. Besides, in MN </w:t>
      </w:r>
      <w:r>
        <w:rPr>
          <w:rFonts w:hint="default" w:cs="Times New Roman"/>
          <w:b w:val="0"/>
          <w:bCs/>
          <w:i w:val="0"/>
          <w:iCs/>
          <w:sz w:val="21"/>
          <w:szCs w:val="21"/>
          <w:u w:val="none"/>
          <w:lang w:val="en-US" w:eastAsia="zh-CN"/>
        </w:rPr>
        <w:t>initiated inter-SN CPC and CPA</w:t>
      </w:r>
      <w:r>
        <w:rPr>
          <w:rFonts w:hint="eastAsia" w:cs="Times New Roman"/>
          <w:b w:val="0"/>
          <w:bCs/>
          <w:i w:val="0"/>
          <w:iCs/>
          <w:sz w:val="21"/>
          <w:szCs w:val="21"/>
          <w:u w:val="none"/>
          <w:lang w:val="en-US" w:eastAsia="zh-CN"/>
        </w:rPr>
        <w:t xml:space="preserve">, </w:t>
      </w:r>
      <w:r>
        <w:rPr>
          <w:rFonts w:hint="default" w:cs="Times New Roman"/>
          <w:b w:val="0"/>
          <w:bCs/>
          <w:i w:val="0"/>
          <w:iCs/>
          <w:sz w:val="21"/>
          <w:szCs w:val="21"/>
          <w:u w:val="none"/>
          <w:lang w:val="en-US" w:eastAsia="zh-CN"/>
        </w:rPr>
        <w:t xml:space="preserve">the MN is </w:t>
      </w:r>
      <w:r>
        <w:rPr>
          <w:rFonts w:hint="eastAsia" w:cs="Times New Roman"/>
          <w:b w:val="0"/>
          <w:bCs/>
          <w:i w:val="0"/>
          <w:iCs/>
          <w:sz w:val="21"/>
          <w:szCs w:val="21"/>
          <w:u w:val="none"/>
          <w:lang w:val="en-US" w:eastAsia="zh-CN"/>
        </w:rPr>
        <w:t xml:space="preserve">also </w:t>
      </w:r>
      <w:r>
        <w:rPr>
          <w:rFonts w:hint="default" w:cs="Times New Roman"/>
          <w:b w:val="0"/>
          <w:bCs/>
          <w:i w:val="0"/>
          <w:iCs/>
          <w:sz w:val="21"/>
          <w:szCs w:val="21"/>
          <w:u w:val="none"/>
          <w:lang w:val="en-US" w:eastAsia="zh-CN"/>
        </w:rPr>
        <w:t>not required to indicate the execution condition(s) to other involved entities</w:t>
      </w:r>
      <w:r>
        <w:rPr>
          <w:rFonts w:hint="eastAsia" w:cs="Times New Roman"/>
          <w:b w:val="0"/>
          <w:bCs/>
          <w:i w:val="0"/>
          <w:iCs/>
          <w:sz w:val="21"/>
          <w:szCs w:val="21"/>
          <w:u w:val="none"/>
          <w:lang w:val="en-US" w:eastAsia="zh-CN"/>
        </w:rPr>
        <w:t xml:space="preserve"> </w:t>
      </w:r>
      <w:r>
        <w:rPr>
          <w:rFonts w:hint="default" w:cs="Times New Roman"/>
          <w:b w:val="0"/>
          <w:bCs/>
          <w:i w:val="0"/>
          <w:iCs/>
          <w:sz w:val="21"/>
          <w:szCs w:val="21"/>
          <w:u w:val="none"/>
          <w:lang w:val="en-US" w:eastAsia="zh-CN"/>
        </w:rPr>
        <w:t>(e.g. target SN, source SN)</w:t>
      </w:r>
      <w:r>
        <w:rPr>
          <w:rFonts w:hint="eastAsia" w:cs="Times New Roman"/>
          <w:b w:val="0"/>
          <w:bCs/>
          <w:i w:val="0"/>
          <w:iCs/>
          <w:sz w:val="21"/>
          <w:szCs w:val="21"/>
          <w:u w:val="none"/>
          <w:lang w:val="en-US" w:eastAsia="zh-CN"/>
        </w:rPr>
        <w:t>. So a</w:t>
      </w:r>
      <w:r>
        <w:rPr>
          <w:rFonts w:hint="default" w:cs="Times New Roman"/>
          <w:b w:val="0"/>
          <w:bCs/>
          <w:i w:val="0"/>
          <w:iCs/>
          <w:sz w:val="21"/>
          <w:szCs w:val="21"/>
          <w:u w:val="none"/>
          <w:lang w:val="en-US" w:eastAsia="zh-CN"/>
        </w:rPr>
        <w:t xml:space="preserve"> unified solution can be considered for </w:t>
      </w:r>
      <w:r>
        <w:rPr>
          <w:rFonts w:hint="eastAsia" w:cs="Times New Roman"/>
          <w:b w:val="0"/>
          <w:bCs/>
          <w:i w:val="0"/>
          <w:iCs/>
          <w:sz w:val="21"/>
          <w:szCs w:val="21"/>
          <w:u w:val="none"/>
          <w:lang w:val="en-US" w:eastAsia="zh-CN"/>
        </w:rPr>
        <w:t xml:space="preserve">all cases, i.e. </w:t>
      </w:r>
      <w:r>
        <w:rPr>
          <w:rFonts w:hint="default" w:cs="Times New Roman"/>
          <w:b w:val="0"/>
          <w:bCs/>
          <w:i w:val="0"/>
          <w:iCs/>
          <w:sz w:val="21"/>
          <w:szCs w:val="21"/>
          <w:u w:val="none"/>
          <w:lang w:val="en-US" w:eastAsia="zh-CN"/>
        </w:rPr>
        <w:t>CPA, MN initiated and SN initiated inter-SN CPC</w:t>
      </w:r>
      <w:r>
        <w:rPr>
          <w:rFonts w:hint="eastAsia" w:cs="Times New Roman"/>
          <w:b w:val="0"/>
          <w:bCs/>
          <w:i w:val="0"/>
          <w:iCs/>
          <w:sz w:val="21"/>
          <w:szCs w:val="21"/>
          <w:u w:val="none"/>
          <w:lang w:val="en-US" w:eastAsia="zh-CN"/>
        </w:rPr>
        <w:t>, for simplicity</w:t>
      </w:r>
      <w:r>
        <w:rPr>
          <w:rFonts w:hint="default" w:cs="Times New Roman"/>
          <w:b w:val="0"/>
          <w:bCs/>
          <w:i w:val="0"/>
          <w:iCs/>
          <w:sz w:val="21"/>
          <w:szCs w:val="21"/>
          <w:u w:val="none"/>
          <w:lang w:val="en-US" w:eastAsia="zh-CN"/>
        </w:rPr>
        <w:t xml:space="preserve">. </w:t>
      </w:r>
    </w:p>
    <w:p>
      <w:pPr>
        <w:pStyle w:val="4"/>
        <w:ind w:left="0" w:leftChars="0" w:firstLine="0" w:firstLineChars="0"/>
        <w:jc w:val="both"/>
        <w:rPr>
          <w:rFonts w:hint="eastAsia" w:cs="Times New Roman"/>
          <w:b w:val="0"/>
          <w:bCs/>
          <w:i w:val="0"/>
          <w:iCs/>
          <w:sz w:val="21"/>
          <w:szCs w:val="21"/>
          <w:lang w:val="en-US" w:eastAsia="zh-CN"/>
        </w:rPr>
      </w:pPr>
      <w:r>
        <w:rPr>
          <w:rFonts w:hint="eastAsia" w:ascii="Times New Roman" w:hAnsi="Times New Roman" w:cs="Times New Roman"/>
          <w:b/>
          <w:bCs w:val="0"/>
          <w:i w:val="0"/>
          <w:iCs/>
          <w:sz w:val="21"/>
          <w:szCs w:val="21"/>
          <w:lang w:val="en-US" w:eastAsia="zh-CN"/>
        </w:rPr>
        <w:t>Proposal 2: The MN is not required to indicate the execution condition(s) to the target SN in SN initiated inter-SN CPC.</w:t>
      </w:r>
    </w:p>
    <w:p>
      <w:pPr>
        <w:widowControl w:val="0"/>
        <w:numPr>
          <w:ilvl w:val="0"/>
          <w:numId w:val="0"/>
        </w:numPr>
        <w:ind w:leftChars="0"/>
        <w:jc w:val="both"/>
        <w:rPr>
          <w:rFonts w:hint="default" w:cs="Times New Roman"/>
          <w:b w:val="0"/>
          <w:bCs/>
          <w:i w:val="0"/>
          <w:iCs/>
          <w:sz w:val="21"/>
          <w:szCs w:val="21"/>
          <w:u w:val="none"/>
          <w:lang w:val="en-US" w:eastAsia="zh-CN"/>
        </w:rPr>
      </w:pPr>
      <w:r>
        <w:rPr>
          <w:rFonts w:hint="eastAsia" w:cs="Times New Roman"/>
          <w:b w:val="0"/>
          <w:bCs/>
          <w:i w:val="0"/>
          <w:iCs/>
          <w:sz w:val="21"/>
          <w:szCs w:val="21"/>
          <w:u w:val="none"/>
          <w:lang w:val="en-US" w:eastAsia="zh-CN"/>
        </w:rPr>
        <w:t xml:space="preserve">For the transfer of execution conditions from S-SN to MN, most companies agreed to introduce a separate list of proposed PSCell candidates in </w:t>
      </w:r>
      <w:r>
        <w:rPr>
          <w:rFonts w:hint="eastAsia" w:cs="Times New Roman"/>
          <w:b w:val="0"/>
          <w:bCs/>
          <w:i/>
          <w:iCs w:val="0"/>
          <w:sz w:val="21"/>
          <w:szCs w:val="21"/>
          <w:u w:val="none"/>
          <w:lang w:val="en-US" w:eastAsia="zh-CN"/>
        </w:rPr>
        <w:t>CG-Config</w:t>
      </w:r>
      <w:r>
        <w:rPr>
          <w:rFonts w:hint="eastAsia" w:cs="Times New Roman"/>
          <w:b w:val="0"/>
          <w:bCs/>
          <w:i w:val="0"/>
          <w:iCs/>
          <w:sz w:val="21"/>
          <w:szCs w:val="21"/>
          <w:u w:val="none"/>
          <w:lang w:val="en-US" w:eastAsia="zh-CN"/>
        </w:rPr>
        <w:t>, including optional execution conditions, via the email discussion [Post115-e][216] [7]. However, there is no consensus on how to include the execution conditions, e.g. in an OCTET STRING or as integers. Although it</w:t>
      </w:r>
      <w:r>
        <w:rPr>
          <w:rFonts w:hint="default" w:cs="Times New Roman"/>
          <w:b w:val="0"/>
          <w:bCs/>
          <w:i w:val="0"/>
          <w:iCs/>
          <w:sz w:val="21"/>
          <w:szCs w:val="21"/>
          <w:u w:val="none"/>
          <w:lang w:val="en-US" w:eastAsia="zh-CN"/>
        </w:rPr>
        <w:t>’</w:t>
      </w:r>
      <w:r>
        <w:rPr>
          <w:rFonts w:hint="eastAsia" w:cs="Times New Roman"/>
          <w:b w:val="0"/>
          <w:bCs/>
          <w:i w:val="0"/>
          <w:iCs/>
          <w:sz w:val="21"/>
          <w:szCs w:val="21"/>
          <w:u w:val="none"/>
          <w:lang w:val="en-US" w:eastAsia="zh-CN"/>
        </w:rPr>
        <w:t xml:space="preserve">s agreed that the MN is not required to comprehend the execution conditions, some companies argued that the execution conditions are just a list of </w:t>
      </w:r>
      <w:r>
        <w:rPr>
          <w:rFonts w:hint="eastAsia" w:cs="Times New Roman"/>
          <w:b w:val="0"/>
          <w:bCs/>
          <w:i/>
          <w:iCs w:val="0"/>
          <w:sz w:val="21"/>
          <w:szCs w:val="21"/>
          <w:u w:val="none"/>
          <w:lang w:val="en-US" w:eastAsia="zh-CN"/>
        </w:rPr>
        <w:t>measID(s)</w:t>
      </w:r>
      <w:r>
        <w:rPr>
          <w:rFonts w:hint="eastAsia" w:cs="Times New Roman"/>
          <w:b w:val="0"/>
          <w:bCs/>
          <w:i w:val="0"/>
          <w:iCs/>
          <w:sz w:val="21"/>
          <w:szCs w:val="21"/>
          <w:u w:val="none"/>
          <w:lang w:val="en-US" w:eastAsia="zh-CN"/>
        </w:rPr>
        <w:t xml:space="preserve"> (i.e. integers), which the MN can not understand the meaning without the comprehension of the related SCG </w:t>
      </w:r>
      <w:r>
        <w:rPr>
          <w:rFonts w:hint="eastAsia" w:cs="Times New Roman"/>
          <w:b w:val="0"/>
          <w:bCs/>
          <w:i/>
          <w:iCs w:val="0"/>
          <w:sz w:val="21"/>
          <w:szCs w:val="21"/>
          <w:u w:val="none"/>
          <w:lang w:val="en-US" w:eastAsia="zh-CN"/>
        </w:rPr>
        <w:t>measConfig</w:t>
      </w:r>
      <w:r>
        <w:rPr>
          <w:rFonts w:hint="eastAsia" w:cs="Times New Roman"/>
          <w:b w:val="0"/>
          <w:bCs/>
          <w:i w:val="0"/>
          <w:iCs/>
          <w:sz w:val="21"/>
          <w:szCs w:val="21"/>
          <w:u w:val="none"/>
          <w:lang w:val="en-US" w:eastAsia="zh-CN"/>
        </w:rPr>
        <w:t>. But it</w:t>
      </w:r>
      <w:r>
        <w:rPr>
          <w:rFonts w:hint="default" w:cs="Times New Roman"/>
          <w:b w:val="0"/>
          <w:bCs/>
          <w:i w:val="0"/>
          <w:iCs/>
          <w:sz w:val="21"/>
          <w:szCs w:val="21"/>
          <w:u w:val="none"/>
          <w:lang w:val="en-US" w:eastAsia="zh-CN"/>
        </w:rPr>
        <w:t>’</w:t>
      </w:r>
      <w:r>
        <w:rPr>
          <w:rFonts w:hint="eastAsia" w:cs="Times New Roman"/>
          <w:b w:val="0"/>
          <w:bCs/>
          <w:i w:val="0"/>
          <w:iCs/>
          <w:sz w:val="21"/>
          <w:szCs w:val="21"/>
          <w:u w:val="none"/>
          <w:lang w:val="en-US" w:eastAsia="zh-CN"/>
        </w:rPr>
        <w:t>s usually to keep the independence of the MN generated configuration and SN generated configuration during the inter-node interaction.  Especially, in case that MN and SN belong to different RATs, e.g. (NG)EN-DC case, the configuration generated by one RAT node is always transferred to the other RAT node as the OCTET STRING. And it seems no much complexity to include the execution conditions in an OCTECT STRING. So it</w:t>
      </w:r>
      <w:r>
        <w:rPr>
          <w:rFonts w:hint="default" w:cs="Times New Roman"/>
          <w:b w:val="0"/>
          <w:bCs/>
          <w:i w:val="0"/>
          <w:iCs/>
          <w:sz w:val="21"/>
          <w:szCs w:val="21"/>
          <w:u w:val="none"/>
          <w:lang w:val="en-US" w:eastAsia="zh-CN"/>
        </w:rPr>
        <w:t>’</w:t>
      </w:r>
      <w:r>
        <w:rPr>
          <w:rFonts w:hint="eastAsia" w:cs="Times New Roman"/>
          <w:b w:val="0"/>
          <w:bCs/>
          <w:i w:val="0"/>
          <w:iCs/>
          <w:sz w:val="21"/>
          <w:szCs w:val="21"/>
          <w:u w:val="none"/>
          <w:lang w:val="en-US" w:eastAsia="zh-CN"/>
        </w:rPr>
        <w:t xml:space="preserve">s preferred to have an unified signaling structure for the execution conditions in all cases, i.e. include the execution conditions in an OCTET TRING.  </w:t>
      </w:r>
    </w:p>
    <w:p>
      <w:pPr>
        <w:widowControl w:val="0"/>
        <w:numPr>
          <w:ilvl w:val="0"/>
          <w:numId w:val="0"/>
        </w:numPr>
        <w:ind w:leftChars="0"/>
        <w:jc w:val="both"/>
        <w:rPr>
          <w:rFonts w:hint="eastAsia"/>
          <w:lang w:val="en-US" w:eastAsia="zh-CN"/>
        </w:rPr>
      </w:pPr>
      <w:r>
        <w:rPr>
          <w:rFonts w:hint="default" w:ascii="Times New Roman" w:hAnsi="Times New Roman" w:cs="Times New Roman"/>
          <w:b/>
          <w:bCs w:val="0"/>
          <w:i w:val="0"/>
          <w:iCs/>
          <w:sz w:val="21"/>
          <w:szCs w:val="21"/>
          <w:lang w:val="en-US" w:eastAsia="zh-CN"/>
        </w:rPr>
        <w:t xml:space="preserve">Proposal </w:t>
      </w:r>
      <w:r>
        <w:rPr>
          <w:rFonts w:hint="eastAsia" w:cs="Times New Roman"/>
          <w:b/>
          <w:bCs w:val="0"/>
          <w:i w:val="0"/>
          <w:iCs/>
          <w:sz w:val="21"/>
          <w:szCs w:val="21"/>
          <w:lang w:val="en-US" w:eastAsia="zh-CN"/>
        </w:rPr>
        <w:t>3</w:t>
      </w:r>
      <w:r>
        <w:rPr>
          <w:rFonts w:hint="default" w:ascii="Times New Roman" w:hAnsi="Times New Roman" w:cs="Times New Roman"/>
          <w:b/>
          <w:bCs w:val="0"/>
          <w:i w:val="0"/>
          <w:iCs/>
          <w:sz w:val="21"/>
          <w:szCs w:val="21"/>
          <w:lang w:val="en-US" w:eastAsia="zh-CN"/>
        </w:rPr>
        <w:t xml:space="preserve">: </w:t>
      </w:r>
      <w:r>
        <w:rPr>
          <w:rFonts w:hint="eastAsia" w:cs="Times New Roman"/>
          <w:b/>
          <w:bCs w:val="0"/>
          <w:i w:val="0"/>
          <w:iCs/>
          <w:sz w:val="21"/>
          <w:szCs w:val="21"/>
          <w:lang w:val="en-US" w:eastAsia="zh-CN"/>
        </w:rPr>
        <w:t>The execution conditions from the source SN to the MN are included in an OCTECT STRING</w:t>
      </w:r>
      <w:r>
        <w:rPr>
          <w:rFonts w:hint="default" w:ascii="Times New Roman" w:hAnsi="Times New Roman" w:cs="Times New Roman"/>
          <w:b/>
          <w:bCs w:val="0"/>
          <w:i w:val="0"/>
          <w:iCs/>
          <w:sz w:val="21"/>
          <w:szCs w:val="21"/>
          <w:lang w:val="en-US" w:eastAsia="zh-CN"/>
        </w:rPr>
        <w: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bidi w:val="0"/>
        <w:rPr>
          <w:rFonts w:hint="default"/>
          <w:i/>
          <w:iCs/>
          <w:lang w:val="en-US" w:eastAsia="zh-CN"/>
        </w:rPr>
      </w:pPr>
      <w:r>
        <w:rPr>
          <w:rFonts w:hint="eastAsia"/>
          <w:i/>
          <w:iCs/>
          <w:lang w:val="en-US" w:eastAsia="zh-CN"/>
        </w:rPr>
        <w:t xml:space="preserve">Observation 1: The RAN2 workload on solution 1 and solution 2 is almost equal. But solution 2 may need more RAN3 work to design the message/procedure on update of S-SN configuration during the CPC preparation. </w:t>
      </w:r>
    </w:p>
    <w:p>
      <w:pPr>
        <w:bidi w:val="0"/>
        <w:rPr>
          <w:rFonts w:hint="eastAsia"/>
          <w:b/>
          <w:bCs/>
          <w:lang w:val="en-US" w:eastAsia="zh-CN"/>
        </w:rPr>
      </w:pPr>
      <w:r>
        <w:rPr>
          <w:rFonts w:hint="eastAsia"/>
          <w:b/>
          <w:bCs/>
          <w:lang w:val="en-US" w:eastAsia="zh-CN"/>
        </w:rPr>
        <w:t>Proposal 1: Send LS to RAN3 to inform them about the potential RAN3 work on solution 2 and ask them to make the decision on which solution is adopted.</w:t>
      </w:r>
    </w:p>
    <w:p>
      <w:pPr>
        <w:pStyle w:val="4"/>
        <w:ind w:left="0" w:leftChars="0" w:firstLine="0" w:firstLineChars="0"/>
        <w:jc w:val="both"/>
        <w:rPr>
          <w:rFonts w:hint="eastAsia" w:cs="Times New Roman"/>
          <w:b w:val="0"/>
          <w:bCs/>
          <w:i w:val="0"/>
          <w:iCs/>
          <w:sz w:val="21"/>
          <w:szCs w:val="21"/>
          <w:lang w:val="en-US" w:eastAsia="zh-CN"/>
        </w:rPr>
      </w:pPr>
      <w:bookmarkStart w:id="5" w:name="_GoBack"/>
      <w:bookmarkEnd w:id="5"/>
      <w:r>
        <w:rPr>
          <w:rFonts w:hint="eastAsia" w:ascii="Times New Roman" w:hAnsi="Times New Roman" w:cs="Times New Roman"/>
          <w:b/>
          <w:bCs w:val="0"/>
          <w:i w:val="0"/>
          <w:iCs/>
          <w:sz w:val="21"/>
          <w:szCs w:val="21"/>
          <w:lang w:val="en-US" w:eastAsia="zh-CN"/>
        </w:rPr>
        <w:t>Proposal 2: The MN is not required to indicate the execution condition(s) to the target SN in SN initiated inter-SN CPC.</w:t>
      </w:r>
    </w:p>
    <w:p>
      <w:pPr>
        <w:widowControl w:val="0"/>
        <w:numPr>
          <w:ilvl w:val="0"/>
          <w:numId w:val="0"/>
        </w:numPr>
        <w:ind w:leftChars="0"/>
        <w:jc w:val="both"/>
        <w:rPr>
          <w:rFonts w:hint="eastAsia"/>
          <w:lang w:val="en-US" w:eastAsia="zh-CN"/>
        </w:rPr>
      </w:pPr>
      <w:r>
        <w:rPr>
          <w:rFonts w:hint="default" w:ascii="Times New Roman" w:hAnsi="Times New Roman" w:cs="Times New Roman"/>
          <w:b/>
          <w:bCs w:val="0"/>
          <w:i w:val="0"/>
          <w:iCs/>
          <w:sz w:val="21"/>
          <w:szCs w:val="21"/>
          <w:lang w:val="en-US" w:eastAsia="zh-CN"/>
        </w:rPr>
        <w:t xml:space="preserve">Proposal </w:t>
      </w:r>
      <w:r>
        <w:rPr>
          <w:rFonts w:hint="eastAsia" w:cs="Times New Roman"/>
          <w:b/>
          <w:bCs w:val="0"/>
          <w:i w:val="0"/>
          <w:iCs/>
          <w:sz w:val="21"/>
          <w:szCs w:val="21"/>
          <w:lang w:val="en-US" w:eastAsia="zh-CN"/>
        </w:rPr>
        <w:t>3</w:t>
      </w:r>
      <w:r>
        <w:rPr>
          <w:rFonts w:hint="default" w:ascii="Times New Roman" w:hAnsi="Times New Roman" w:cs="Times New Roman"/>
          <w:b/>
          <w:bCs w:val="0"/>
          <w:i w:val="0"/>
          <w:iCs/>
          <w:sz w:val="21"/>
          <w:szCs w:val="21"/>
          <w:lang w:val="en-US" w:eastAsia="zh-CN"/>
        </w:rPr>
        <w:t xml:space="preserve">: </w:t>
      </w:r>
      <w:r>
        <w:rPr>
          <w:rFonts w:hint="eastAsia" w:cs="Times New Roman"/>
          <w:b/>
          <w:bCs w:val="0"/>
          <w:i w:val="0"/>
          <w:iCs/>
          <w:sz w:val="21"/>
          <w:szCs w:val="21"/>
          <w:lang w:val="en-US" w:eastAsia="zh-CN"/>
        </w:rPr>
        <w:t>The execution conditions from the source SN to the MN are included in an OCTECT STRING</w:t>
      </w:r>
      <w:r>
        <w:rPr>
          <w:rFonts w:hint="default" w:ascii="Times New Roman" w:hAnsi="Times New Roman" w:cs="Times New Roman"/>
          <w:b/>
          <w:bCs w:val="0"/>
          <w:i w:val="0"/>
          <w:iCs/>
          <w:sz w:val="21"/>
          <w:szCs w:val="21"/>
          <w:lang w:val="en-US" w:eastAsia="zh-CN"/>
        </w:rPr>
        <w: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5"/>
        </w:numPr>
        <w:rPr>
          <w:rFonts w:hint="eastAsia" w:ascii="Times New Roman" w:hAnsi="Times New Roman" w:cs="Times New Roman"/>
          <w:b w:val="0"/>
          <w:bCs/>
          <w:i w:val="0"/>
          <w:iCs/>
          <w:sz w:val="21"/>
          <w:szCs w:val="21"/>
          <w:lang w:val="en-US" w:eastAsia="zh-CN"/>
        </w:rPr>
      </w:pPr>
      <w:r>
        <w:rPr>
          <w:rFonts w:hint="eastAsia"/>
          <w:b w:val="0"/>
          <w:bCs w:val="0"/>
          <w:lang w:val="en-US" w:eastAsia="zh-CN"/>
        </w:rPr>
        <w:t>RAN2#115-e chair notes</w:t>
      </w:r>
      <w:bookmarkStart w:id="4" w:name="_Ref71222056"/>
    </w:p>
    <w:p>
      <w:pPr>
        <w:numPr>
          <w:ilvl w:val="0"/>
          <w:numId w:val="5"/>
        </w:numPr>
        <w:rPr>
          <w:rFonts w:hint="eastAsia" w:ascii="Times New Roman" w:hAnsi="Times New Roman" w:cs="Times New Roman"/>
          <w:b w:val="0"/>
          <w:bCs/>
          <w:i w:val="0"/>
          <w:iCs/>
          <w:sz w:val="21"/>
          <w:szCs w:val="21"/>
          <w:lang w:val="en-US" w:eastAsia="zh-CN"/>
        </w:rPr>
      </w:pPr>
      <w:r>
        <w:rPr>
          <w:rFonts w:hint="eastAsia"/>
          <w:b w:val="0"/>
          <w:bCs w:val="0"/>
          <w:lang w:val="en-US" w:eastAsia="zh-CN"/>
        </w:rPr>
        <w:t>RAN2#114-e chair notes</w:t>
      </w:r>
    </w:p>
    <w:p>
      <w:pPr>
        <w:numPr>
          <w:ilvl w:val="0"/>
          <w:numId w:val="5"/>
        </w:numPr>
        <w:rPr>
          <w:rFonts w:hint="eastAsia" w:ascii="Times New Roman" w:hAnsi="Times New Roman" w:cs="Times New Roman"/>
          <w:b w:val="0"/>
          <w:bCs/>
          <w:i w:val="0"/>
          <w:iCs/>
          <w:sz w:val="21"/>
          <w:szCs w:val="21"/>
          <w:lang w:val="en-US" w:eastAsia="zh-CN"/>
        </w:rPr>
      </w:pPr>
      <w:r>
        <w:rPr>
          <w:rFonts w:hint="eastAsia" w:ascii="Times New Roman" w:hAnsi="Times New Roman" w:cs="Times New Roman"/>
          <w:b w:val="0"/>
          <w:bCs/>
          <w:i w:val="0"/>
          <w:iCs/>
          <w:sz w:val="21"/>
          <w:szCs w:val="21"/>
          <w:lang w:val="en-US" w:eastAsia="zh-CN"/>
        </w:rPr>
        <w:t>R2-2108688</w:t>
      </w:r>
      <w:r>
        <w:rPr>
          <w:rFonts w:hint="eastAsia" w:ascii="Times New Roman" w:hAnsi="Times New Roman" w:cs="Times New Roman"/>
          <w:b w:val="0"/>
          <w:bCs/>
          <w:i w:val="0"/>
          <w:iCs/>
          <w:sz w:val="21"/>
          <w:szCs w:val="21"/>
          <w:lang w:val="en-US" w:eastAsia="zh-CN"/>
        </w:rPr>
        <w:tab/>
      </w:r>
      <w:r>
        <w:rPr>
          <w:rFonts w:hint="eastAsia" w:ascii="Times New Roman" w:hAnsi="Times New Roman" w:cs="Times New Roman"/>
          <w:b w:val="0"/>
          <w:bCs/>
          <w:i w:val="0"/>
          <w:iCs/>
          <w:sz w:val="21"/>
          <w:szCs w:val="21"/>
          <w:lang w:val="en-US" w:eastAsia="zh-CN"/>
        </w:rPr>
        <w:t>TS 37.340 CR for CPA and inter-SN CPC</w:t>
      </w:r>
      <w:r>
        <w:rPr>
          <w:rFonts w:hint="eastAsia" w:ascii="Times New Roman" w:hAnsi="Times New Roman" w:cs="Times New Roman"/>
          <w:b w:val="0"/>
          <w:bCs/>
          <w:i w:val="0"/>
          <w:iCs/>
          <w:sz w:val="21"/>
          <w:szCs w:val="21"/>
          <w:lang w:val="en-US" w:eastAsia="zh-CN"/>
        </w:rPr>
        <w:tab/>
      </w:r>
      <w:r>
        <w:rPr>
          <w:rFonts w:hint="eastAsia" w:ascii="Times New Roman" w:hAnsi="Times New Roman" w:cs="Times New Roman"/>
          <w:b w:val="0"/>
          <w:bCs/>
          <w:i w:val="0"/>
          <w:iCs/>
          <w:sz w:val="21"/>
          <w:szCs w:val="21"/>
          <w:lang w:val="en-US" w:eastAsia="zh-CN"/>
        </w:rPr>
        <w:t>CATT</w:t>
      </w:r>
      <w:r>
        <w:rPr>
          <w:rFonts w:hint="eastAsia" w:cs="Times New Roman"/>
          <w:b w:val="0"/>
          <w:bCs/>
          <w:i w:val="0"/>
          <w:iCs/>
          <w:sz w:val="21"/>
          <w:szCs w:val="21"/>
          <w:lang w:val="en-US" w:eastAsia="zh-CN"/>
        </w:rPr>
        <w:t xml:space="preserve">  TSG-RAN WG2 Meeting #115-e</w:t>
      </w:r>
    </w:p>
    <w:p>
      <w:pPr>
        <w:numPr>
          <w:ilvl w:val="0"/>
          <w:numId w:val="5"/>
        </w:numPr>
        <w:rPr>
          <w:rFonts w:hint="eastAsia" w:ascii="Times New Roman" w:hAnsi="Times New Roman" w:cs="Times New Roman"/>
          <w:b w:val="0"/>
          <w:bCs/>
          <w:i w:val="0"/>
          <w:iCs/>
          <w:sz w:val="21"/>
          <w:szCs w:val="21"/>
          <w:lang w:val="en-US" w:eastAsia="zh-CN"/>
        </w:rPr>
      </w:pPr>
      <w:r>
        <w:rPr>
          <w:rFonts w:hint="eastAsia" w:ascii="Times New Roman" w:hAnsi="Times New Roman" w:cs="Times New Roman"/>
          <w:b w:val="0"/>
          <w:bCs/>
          <w:i w:val="0"/>
          <w:iCs/>
          <w:sz w:val="21"/>
          <w:szCs w:val="21"/>
          <w:lang w:val="en-US" w:eastAsia="zh-CN"/>
        </w:rPr>
        <w:t>R2-21</w:t>
      </w:r>
      <w:r>
        <w:rPr>
          <w:rFonts w:hint="eastAsia" w:cs="Times New Roman"/>
          <w:b w:val="0"/>
          <w:bCs/>
          <w:i w:val="0"/>
          <w:iCs/>
          <w:sz w:val="21"/>
          <w:szCs w:val="21"/>
          <w:lang w:val="en-US" w:eastAsia="zh-CN"/>
        </w:rPr>
        <w:t>xxxxx</w:t>
      </w:r>
      <w:r>
        <w:rPr>
          <w:rFonts w:hint="eastAsia" w:ascii="Times New Roman" w:hAnsi="Times New Roman" w:cs="Times New Roman"/>
          <w:b w:val="0"/>
          <w:bCs/>
          <w:i w:val="0"/>
          <w:iCs/>
          <w:sz w:val="21"/>
          <w:szCs w:val="21"/>
          <w:lang w:val="en-US" w:eastAsia="zh-CN"/>
        </w:rPr>
        <w:tab/>
      </w:r>
      <w:r>
        <w:rPr>
          <w:rFonts w:hint="eastAsia" w:ascii="Times New Roman" w:hAnsi="Times New Roman" w:cs="Times New Roman"/>
          <w:b w:val="0"/>
          <w:bCs/>
          <w:i w:val="0"/>
          <w:iCs/>
          <w:sz w:val="21"/>
          <w:szCs w:val="21"/>
          <w:lang w:val="en-US" w:eastAsia="zh-CN"/>
        </w:rPr>
        <w:t>TS 37.340 CR for CPA and inter-SN CPC</w:t>
      </w:r>
      <w:r>
        <w:rPr>
          <w:rFonts w:hint="eastAsia" w:ascii="Times New Roman" w:hAnsi="Times New Roman" w:cs="Times New Roman"/>
          <w:b w:val="0"/>
          <w:bCs/>
          <w:i w:val="0"/>
          <w:iCs/>
          <w:sz w:val="21"/>
          <w:szCs w:val="21"/>
          <w:lang w:val="en-US" w:eastAsia="zh-CN"/>
        </w:rPr>
        <w:tab/>
      </w:r>
      <w:r>
        <w:rPr>
          <w:rFonts w:hint="eastAsia" w:ascii="Times New Roman" w:hAnsi="Times New Roman" w:cs="Times New Roman"/>
          <w:b w:val="0"/>
          <w:bCs/>
          <w:i w:val="0"/>
          <w:iCs/>
          <w:sz w:val="21"/>
          <w:szCs w:val="21"/>
          <w:lang w:val="en-US" w:eastAsia="zh-CN"/>
        </w:rPr>
        <w:t>CATT</w:t>
      </w:r>
      <w:r>
        <w:rPr>
          <w:rFonts w:hint="eastAsia" w:cs="Times New Roman"/>
          <w:b w:val="0"/>
          <w:bCs/>
          <w:i w:val="0"/>
          <w:iCs/>
          <w:sz w:val="21"/>
          <w:szCs w:val="21"/>
          <w:lang w:val="en-US" w:eastAsia="zh-CN"/>
        </w:rPr>
        <w:t xml:space="preserve">  TSG-RAN WG2 Meeting #116-e</w:t>
      </w:r>
    </w:p>
    <w:p>
      <w:pPr>
        <w:numPr>
          <w:ilvl w:val="0"/>
          <w:numId w:val="5"/>
        </w:numPr>
        <w:rPr>
          <w:rFonts w:hint="eastAsia" w:ascii="Times New Roman" w:hAnsi="Times New Roman" w:cs="Times New Roman"/>
          <w:b w:val="0"/>
          <w:bCs/>
          <w:i w:val="0"/>
          <w:iCs/>
          <w:sz w:val="21"/>
          <w:szCs w:val="21"/>
          <w:lang w:val="en-US" w:eastAsia="zh-CN"/>
        </w:rPr>
      </w:pPr>
      <w:r>
        <w:rPr>
          <w:rFonts w:hint="eastAsia" w:ascii="Times New Roman" w:hAnsi="Times New Roman" w:cs="Times New Roman"/>
          <w:b w:val="0"/>
          <w:bCs/>
          <w:i w:val="0"/>
          <w:iCs/>
          <w:sz w:val="21"/>
          <w:szCs w:val="21"/>
          <w:lang w:val="en-US" w:eastAsia="zh-CN"/>
        </w:rPr>
        <w:t>R2-2108694</w:t>
      </w:r>
      <w:r>
        <w:rPr>
          <w:rFonts w:hint="eastAsia" w:ascii="Times New Roman" w:hAnsi="Times New Roman" w:cs="Times New Roman"/>
          <w:b w:val="0"/>
          <w:bCs/>
          <w:i w:val="0"/>
          <w:iCs/>
          <w:sz w:val="21"/>
          <w:szCs w:val="21"/>
          <w:lang w:val="en-US" w:eastAsia="zh-CN"/>
        </w:rPr>
        <w:tab/>
      </w:r>
      <w:r>
        <w:rPr>
          <w:rFonts w:hint="eastAsia" w:ascii="Times New Roman" w:hAnsi="Times New Roman" w:cs="Times New Roman"/>
          <w:b w:val="0"/>
          <w:bCs/>
          <w:i w:val="0"/>
          <w:iCs/>
          <w:sz w:val="21"/>
          <w:szCs w:val="21"/>
          <w:lang w:val="en-US" w:eastAsia="zh-CN"/>
        </w:rPr>
        <w:t>Discussion on CPAC procedures from network perspective</w:t>
      </w:r>
      <w:r>
        <w:rPr>
          <w:rFonts w:hint="eastAsia" w:ascii="Times New Roman" w:hAnsi="Times New Roman" w:cs="Times New Roman"/>
          <w:b w:val="0"/>
          <w:bCs/>
          <w:i w:val="0"/>
          <w:iCs/>
          <w:sz w:val="21"/>
          <w:szCs w:val="21"/>
          <w:lang w:val="en-US" w:eastAsia="zh-CN"/>
        </w:rPr>
        <w:tab/>
      </w:r>
      <w:r>
        <w:rPr>
          <w:rFonts w:hint="eastAsia" w:ascii="Times New Roman" w:hAnsi="Times New Roman" w:cs="Times New Roman"/>
          <w:b w:val="0"/>
          <w:bCs/>
          <w:i w:val="0"/>
          <w:iCs/>
          <w:sz w:val="21"/>
          <w:szCs w:val="21"/>
          <w:lang w:val="en-US" w:eastAsia="zh-CN"/>
        </w:rPr>
        <w:t>CATT</w:t>
      </w:r>
    </w:p>
    <w:bookmarkEnd w:id="4"/>
    <w:p>
      <w:pPr>
        <w:numPr>
          <w:ilvl w:val="0"/>
          <w:numId w:val="5"/>
        </w:numPr>
        <w:rPr>
          <w:rFonts w:hint="eastAsia" w:ascii="Times New Roman" w:hAnsi="Times New Roman" w:cs="Times New Roman"/>
          <w:b w:val="0"/>
          <w:bCs/>
          <w:i w:val="0"/>
          <w:iCs/>
          <w:sz w:val="21"/>
          <w:szCs w:val="21"/>
          <w:lang w:val="en-US" w:eastAsia="zh-CN"/>
        </w:rPr>
      </w:pPr>
      <w:r>
        <w:rPr>
          <w:rFonts w:hint="eastAsia" w:ascii="Times New Roman" w:hAnsi="Times New Roman" w:cs="Times New Roman"/>
          <w:b w:val="0"/>
          <w:bCs/>
          <w:i w:val="0"/>
          <w:iCs/>
          <w:sz w:val="21"/>
          <w:szCs w:val="21"/>
          <w:lang w:val="en-US" w:eastAsia="zh-CN"/>
        </w:rPr>
        <w:t>R2-2109215</w:t>
      </w:r>
      <w:r>
        <w:rPr>
          <w:rFonts w:hint="eastAsia" w:ascii="Times New Roman" w:hAnsi="Times New Roman" w:cs="Times New Roman"/>
          <w:b w:val="0"/>
          <w:bCs/>
          <w:i w:val="0"/>
          <w:iCs/>
          <w:sz w:val="21"/>
          <w:szCs w:val="21"/>
          <w:lang w:val="en-US" w:eastAsia="zh-CN"/>
        </w:rPr>
        <w:tab/>
      </w:r>
      <w:r>
        <w:rPr>
          <w:rFonts w:hint="eastAsia" w:ascii="Times New Roman" w:hAnsi="Times New Roman" w:cs="Times New Roman"/>
          <w:b w:val="0"/>
          <w:bCs/>
          <w:i w:val="0"/>
          <w:iCs/>
          <w:sz w:val="21"/>
          <w:szCs w:val="21"/>
          <w:lang w:val="en-US" w:eastAsia="zh-CN"/>
        </w:rPr>
        <w:t>Reply LS on inter-node message design for CPAC busy indication</w:t>
      </w:r>
      <w:r>
        <w:rPr>
          <w:rFonts w:hint="eastAsia" w:ascii="Times New Roman" w:hAnsi="Times New Roman" w:cs="Times New Roman"/>
          <w:b w:val="0"/>
          <w:bCs/>
          <w:i w:val="0"/>
          <w:iCs/>
          <w:sz w:val="21"/>
          <w:szCs w:val="21"/>
          <w:lang w:val="en-US" w:eastAsia="zh-CN"/>
        </w:rPr>
        <w:tab/>
      </w:r>
      <w:r>
        <w:rPr>
          <w:rFonts w:hint="eastAsia" w:ascii="Times New Roman" w:hAnsi="Times New Roman" w:cs="Times New Roman"/>
          <w:b w:val="0"/>
          <w:bCs/>
          <w:i w:val="0"/>
          <w:iCs/>
          <w:sz w:val="21"/>
          <w:szCs w:val="21"/>
          <w:lang w:val="en-US" w:eastAsia="zh-CN"/>
        </w:rPr>
        <w:t>RAN2</w:t>
      </w:r>
      <w:r>
        <w:rPr>
          <w:rFonts w:hint="eastAsia" w:ascii="Times New Roman" w:hAnsi="Times New Roman" w:cs="Times New Roman"/>
          <w:b w:val="0"/>
          <w:bCs/>
          <w:i w:val="0"/>
          <w:iCs/>
          <w:sz w:val="21"/>
          <w:szCs w:val="21"/>
          <w:lang w:val="en-US" w:eastAsia="zh-CN"/>
        </w:rPr>
        <w:tab/>
      </w:r>
      <w:r>
        <w:rPr>
          <w:rFonts w:hint="eastAsia" w:ascii="Times New Roman" w:hAnsi="Times New Roman" w:cs="Times New Roman"/>
          <w:b w:val="0"/>
          <w:bCs/>
          <w:i w:val="0"/>
          <w:iCs/>
          <w:sz w:val="21"/>
          <w:szCs w:val="21"/>
          <w:lang w:val="en-US" w:eastAsia="zh-CN"/>
        </w:rPr>
        <w:t>LS out</w:t>
      </w:r>
    </w:p>
    <w:p>
      <w:pPr>
        <w:numPr>
          <w:ilvl w:val="0"/>
          <w:numId w:val="5"/>
        </w:numPr>
        <w:rPr>
          <w:rFonts w:hint="eastAsia" w:ascii="Times New Roman" w:hAnsi="Times New Roman" w:cs="Times New Roman"/>
          <w:b w:val="0"/>
          <w:bCs/>
          <w:i w:val="0"/>
          <w:iCs/>
          <w:sz w:val="21"/>
          <w:szCs w:val="21"/>
          <w:lang w:val="en-US" w:eastAsia="zh-CN"/>
        </w:rPr>
      </w:pPr>
      <w:r>
        <w:rPr>
          <w:rFonts w:hint="eastAsia" w:cs="Times New Roman"/>
          <w:b w:val="0"/>
          <w:bCs/>
          <w:i w:val="0"/>
          <w:iCs/>
          <w:sz w:val="21"/>
          <w:szCs w:val="21"/>
          <w:lang w:val="en-US" w:eastAsia="zh-CN"/>
        </w:rPr>
        <w:t xml:space="preserve">R2-21xxxxx  [Post115-e][216][R17 DCCA] Inter-node message design  Ericsson </w:t>
      </w:r>
    </w:p>
    <w:p>
      <w:pPr>
        <w:numPr>
          <w:ilvl w:val="0"/>
          <w:numId w:val="0"/>
        </w:numPr>
        <w:rPr>
          <w:rFonts w:hint="default"/>
          <w:b w:val="0"/>
          <w:bCs w:val="0"/>
          <w:lang w:val="en-US" w:eastAsia="zh-CN"/>
        </w:rPr>
      </w:pPr>
    </w:p>
    <w:sectPr>
      <w:headerReference r:id="rId3" w:type="default"/>
      <w:footerReference r:id="rId4" w:type="default"/>
      <w:footerReference r:id="rId5" w:type="even"/>
      <w:pgSz w:w="11906" w:h="16838"/>
      <w:pgMar w:top="1440" w:right="1274" w:bottom="1440" w:left="851"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30" w:usb3="00000000" w:csb0="4008009F" w:csb1="DFD7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D3D26"/>
    <w:multiLevelType w:val="singleLevel"/>
    <w:tmpl w:val="AB3D3D26"/>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5"/>
      <w:lvlText w:val="%1.%2."/>
      <w:lvlJc w:val="left"/>
      <w:pPr>
        <w:tabs>
          <w:tab w:val="left" w:pos="575"/>
        </w:tabs>
        <w:ind w:left="575" w:hanging="575"/>
      </w:pPr>
      <w:rPr>
        <w:rFonts w:hint="default"/>
      </w:rPr>
    </w:lvl>
    <w:lvl w:ilvl="2" w:tentative="0">
      <w:start w:val="1"/>
      <w:numFmt w:val="decimal"/>
      <w:pStyle w:val="6"/>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098866AC"/>
    <w:multiLevelType w:val="multilevel"/>
    <w:tmpl w:val="098866AC"/>
    <w:lvl w:ilvl="0" w:tentative="0">
      <w:start w:val="1"/>
      <w:numFmt w:val="bullet"/>
      <w:lvlText w:val=""/>
      <w:lvlJc w:val="left"/>
      <w:pPr>
        <w:ind w:left="1679" w:hanging="420"/>
      </w:pPr>
      <w:rPr>
        <w:rFonts w:hint="default" w:ascii="Wingdings" w:hAnsi="Wingdings"/>
      </w:rPr>
    </w:lvl>
    <w:lvl w:ilvl="1" w:tentative="0">
      <w:start w:val="1"/>
      <w:numFmt w:val="bullet"/>
      <w:lvlText w:val=""/>
      <w:lvlJc w:val="left"/>
      <w:pPr>
        <w:ind w:left="2099" w:hanging="420"/>
      </w:pPr>
      <w:rPr>
        <w:rFonts w:hint="default" w:ascii="Wingdings" w:hAnsi="Wingdings"/>
      </w:rPr>
    </w:lvl>
    <w:lvl w:ilvl="2" w:tentative="0">
      <w:start w:val="1"/>
      <w:numFmt w:val="bullet"/>
      <w:lvlText w:val=""/>
      <w:lvlJc w:val="left"/>
      <w:pPr>
        <w:ind w:left="2519" w:hanging="420"/>
      </w:pPr>
      <w:rPr>
        <w:rFonts w:hint="default" w:ascii="Wingdings" w:hAnsi="Wingdings"/>
      </w:rPr>
    </w:lvl>
    <w:lvl w:ilvl="3" w:tentative="0">
      <w:start w:val="1"/>
      <w:numFmt w:val="bullet"/>
      <w:lvlText w:val=""/>
      <w:lvlJc w:val="left"/>
      <w:pPr>
        <w:ind w:left="2939" w:hanging="420"/>
      </w:pPr>
      <w:rPr>
        <w:rFonts w:hint="default" w:ascii="Wingdings" w:hAnsi="Wingdings"/>
      </w:rPr>
    </w:lvl>
    <w:lvl w:ilvl="4" w:tentative="0">
      <w:start w:val="1"/>
      <w:numFmt w:val="bullet"/>
      <w:lvlText w:val=""/>
      <w:lvlJc w:val="left"/>
      <w:pPr>
        <w:ind w:left="3359" w:hanging="420"/>
      </w:pPr>
      <w:rPr>
        <w:rFonts w:hint="default" w:ascii="Wingdings" w:hAnsi="Wingdings"/>
      </w:rPr>
    </w:lvl>
    <w:lvl w:ilvl="5" w:tentative="0">
      <w:start w:val="1"/>
      <w:numFmt w:val="bullet"/>
      <w:lvlText w:val=""/>
      <w:lvlJc w:val="left"/>
      <w:pPr>
        <w:ind w:left="3779" w:hanging="420"/>
      </w:pPr>
      <w:rPr>
        <w:rFonts w:hint="default" w:ascii="Wingdings" w:hAnsi="Wingdings"/>
      </w:rPr>
    </w:lvl>
    <w:lvl w:ilvl="6" w:tentative="0">
      <w:start w:val="1"/>
      <w:numFmt w:val="bullet"/>
      <w:lvlText w:val=""/>
      <w:lvlJc w:val="left"/>
      <w:pPr>
        <w:ind w:left="4199" w:hanging="420"/>
      </w:pPr>
      <w:rPr>
        <w:rFonts w:hint="default" w:ascii="Wingdings" w:hAnsi="Wingdings"/>
      </w:rPr>
    </w:lvl>
    <w:lvl w:ilvl="7" w:tentative="0">
      <w:start w:val="1"/>
      <w:numFmt w:val="bullet"/>
      <w:lvlText w:val=""/>
      <w:lvlJc w:val="left"/>
      <w:pPr>
        <w:ind w:left="4619" w:hanging="420"/>
      </w:pPr>
      <w:rPr>
        <w:rFonts w:hint="default" w:ascii="Wingdings" w:hAnsi="Wingdings"/>
      </w:rPr>
    </w:lvl>
    <w:lvl w:ilvl="8" w:tentative="0">
      <w:start w:val="1"/>
      <w:numFmt w:val="bullet"/>
      <w:lvlText w:val=""/>
      <w:lvlJc w:val="left"/>
      <w:pPr>
        <w:ind w:left="5039" w:hanging="420"/>
      </w:pPr>
      <w:rPr>
        <w:rFonts w:hint="default" w:ascii="Wingdings" w:hAnsi="Wingdings"/>
      </w:rPr>
    </w:lvl>
  </w:abstractNum>
  <w:abstractNum w:abstractNumId="4">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0"/>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115596"/>
    <w:rsid w:val="0212463B"/>
    <w:rsid w:val="02142423"/>
    <w:rsid w:val="02145888"/>
    <w:rsid w:val="021627D8"/>
    <w:rsid w:val="02193BD4"/>
    <w:rsid w:val="022D295E"/>
    <w:rsid w:val="02380A58"/>
    <w:rsid w:val="024412BB"/>
    <w:rsid w:val="02490685"/>
    <w:rsid w:val="024A4AC8"/>
    <w:rsid w:val="024B320F"/>
    <w:rsid w:val="02657A19"/>
    <w:rsid w:val="02664651"/>
    <w:rsid w:val="02737CFE"/>
    <w:rsid w:val="02825D7D"/>
    <w:rsid w:val="028A67A0"/>
    <w:rsid w:val="028B3E82"/>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C3B3B"/>
    <w:rsid w:val="037175E3"/>
    <w:rsid w:val="03857386"/>
    <w:rsid w:val="03892EFE"/>
    <w:rsid w:val="03994D1D"/>
    <w:rsid w:val="039A2405"/>
    <w:rsid w:val="039A4F82"/>
    <w:rsid w:val="039A7700"/>
    <w:rsid w:val="03A13B95"/>
    <w:rsid w:val="03BD31AF"/>
    <w:rsid w:val="03BE00C0"/>
    <w:rsid w:val="03D52450"/>
    <w:rsid w:val="03D63228"/>
    <w:rsid w:val="03E65927"/>
    <w:rsid w:val="03E9137F"/>
    <w:rsid w:val="03EB5E4F"/>
    <w:rsid w:val="03EC1D7B"/>
    <w:rsid w:val="03F148CD"/>
    <w:rsid w:val="03F334EB"/>
    <w:rsid w:val="03FE0DFE"/>
    <w:rsid w:val="04067142"/>
    <w:rsid w:val="040D6866"/>
    <w:rsid w:val="041C2081"/>
    <w:rsid w:val="042320E4"/>
    <w:rsid w:val="043E7F06"/>
    <w:rsid w:val="044469A4"/>
    <w:rsid w:val="04456CA0"/>
    <w:rsid w:val="0451320B"/>
    <w:rsid w:val="045749CF"/>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E024B6"/>
    <w:rsid w:val="05F13BE9"/>
    <w:rsid w:val="05F178AC"/>
    <w:rsid w:val="06017A73"/>
    <w:rsid w:val="06022874"/>
    <w:rsid w:val="060A555D"/>
    <w:rsid w:val="06136726"/>
    <w:rsid w:val="06293C52"/>
    <w:rsid w:val="063F71ED"/>
    <w:rsid w:val="06406186"/>
    <w:rsid w:val="06577E85"/>
    <w:rsid w:val="0665683F"/>
    <w:rsid w:val="066F0DC7"/>
    <w:rsid w:val="067851DF"/>
    <w:rsid w:val="067F0396"/>
    <w:rsid w:val="069621D1"/>
    <w:rsid w:val="069E5DC0"/>
    <w:rsid w:val="069F3235"/>
    <w:rsid w:val="06AF5E97"/>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E121C2"/>
    <w:rsid w:val="07E62C3B"/>
    <w:rsid w:val="07EC790A"/>
    <w:rsid w:val="07F50292"/>
    <w:rsid w:val="07FE63E8"/>
    <w:rsid w:val="083D222A"/>
    <w:rsid w:val="083E7D1C"/>
    <w:rsid w:val="083F69AD"/>
    <w:rsid w:val="08555405"/>
    <w:rsid w:val="08561FA2"/>
    <w:rsid w:val="08590F51"/>
    <w:rsid w:val="086334CF"/>
    <w:rsid w:val="08690BF0"/>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1959C4"/>
    <w:rsid w:val="092464BF"/>
    <w:rsid w:val="09330B6E"/>
    <w:rsid w:val="09392AF8"/>
    <w:rsid w:val="093E5899"/>
    <w:rsid w:val="094311F4"/>
    <w:rsid w:val="094F257F"/>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B4AEA"/>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2F5449"/>
    <w:rsid w:val="0B3A6177"/>
    <w:rsid w:val="0B542366"/>
    <w:rsid w:val="0B565EA1"/>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23B14"/>
    <w:rsid w:val="0BF4523A"/>
    <w:rsid w:val="0BFD3E01"/>
    <w:rsid w:val="0C022CD6"/>
    <w:rsid w:val="0C0F2FEF"/>
    <w:rsid w:val="0C115C01"/>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1F6EAF"/>
    <w:rsid w:val="0D2C3BFA"/>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8C09CF"/>
    <w:rsid w:val="0E8D03D6"/>
    <w:rsid w:val="0E930DC4"/>
    <w:rsid w:val="0EA41BE0"/>
    <w:rsid w:val="0EAD2320"/>
    <w:rsid w:val="0EB12EAE"/>
    <w:rsid w:val="0EC509E4"/>
    <w:rsid w:val="0ECC22F2"/>
    <w:rsid w:val="0ED4677A"/>
    <w:rsid w:val="0ED64E1A"/>
    <w:rsid w:val="0EDC06F9"/>
    <w:rsid w:val="0EE1071D"/>
    <w:rsid w:val="0EF05D44"/>
    <w:rsid w:val="0EFD6649"/>
    <w:rsid w:val="0EFF4DCA"/>
    <w:rsid w:val="0F0869CE"/>
    <w:rsid w:val="0F0F0B31"/>
    <w:rsid w:val="0F0F6DBD"/>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C249F"/>
    <w:rsid w:val="0FD97329"/>
    <w:rsid w:val="0FDD3ABD"/>
    <w:rsid w:val="0FDD41C9"/>
    <w:rsid w:val="0FDE34CC"/>
    <w:rsid w:val="0FDF1003"/>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3DE5"/>
    <w:rsid w:val="106C51AC"/>
    <w:rsid w:val="107B7142"/>
    <w:rsid w:val="1085601B"/>
    <w:rsid w:val="10870262"/>
    <w:rsid w:val="10993A5B"/>
    <w:rsid w:val="109C7E53"/>
    <w:rsid w:val="109D01C9"/>
    <w:rsid w:val="109E5C77"/>
    <w:rsid w:val="10A15BAF"/>
    <w:rsid w:val="10A54549"/>
    <w:rsid w:val="10AD1F54"/>
    <w:rsid w:val="10B20497"/>
    <w:rsid w:val="10B2230B"/>
    <w:rsid w:val="10BA6965"/>
    <w:rsid w:val="10C91FA9"/>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B4AA1"/>
    <w:rsid w:val="12D86D99"/>
    <w:rsid w:val="12EF1DC3"/>
    <w:rsid w:val="12EF741A"/>
    <w:rsid w:val="12F254D0"/>
    <w:rsid w:val="12F3239A"/>
    <w:rsid w:val="12FE42D6"/>
    <w:rsid w:val="130A5E23"/>
    <w:rsid w:val="131C3CE3"/>
    <w:rsid w:val="131D5C4A"/>
    <w:rsid w:val="13207798"/>
    <w:rsid w:val="132A76BE"/>
    <w:rsid w:val="13353240"/>
    <w:rsid w:val="13492B60"/>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D7743"/>
    <w:rsid w:val="160F2C35"/>
    <w:rsid w:val="16203964"/>
    <w:rsid w:val="162810CA"/>
    <w:rsid w:val="16314D23"/>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CA1D2B"/>
    <w:rsid w:val="16DD0C31"/>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C5ECE"/>
    <w:rsid w:val="17CE580D"/>
    <w:rsid w:val="17D83819"/>
    <w:rsid w:val="17F60521"/>
    <w:rsid w:val="17FF4999"/>
    <w:rsid w:val="1800134D"/>
    <w:rsid w:val="180C023B"/>
    <w:rsid w:val="18170776"/>
    <w:rsid w:val="18226EE6"/>
    <w:rsid w:val="182B4F94"/>
    <w:rsid w:val="18366840"/>
    <w:rsid w:val="18474F16"/>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B7D0E"/>
    <w:rsid w:val="1A4F26CC"/>
    <w:rsid w:val="1A552131"/>
    <w:rsid w:val="1A573AB7"/>
    <w:rsid w:val="1A7702EA"/>
    <w:rsid w:val="1A7C32FF"/>
    <w:rsid w:val="1A7C3F77"/>
    <w:rsid w:val="1A80010B"/>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B097FBA"/>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AA2BCF"/>
    <w:rsid w:val="1BD925D2"/>
    <w:rsid w:val="1BFA0C60"/>
    <w:rsid w:val="1C076C7C"/>
    <w:rsid w:val="1C161A83"/>
    <w:rsid w:val="1C1C4D13"/>
    <w:rsid w:val="1C296C3D"/>
    <w:rsid w:val="1C325787"/>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7E024C"/>
    <w:rsid w:val="1D812F92"/>
    <w:rsid w:val="1D850034"/>
    <w:rsid w:val="1D8B6EC0"/>
    <w:rsid w:val="1DA70EBB"/>
    <w:rsid w:val="1DAF2B60"/>
    <w:rsid w:val="1DAF4844"/>
    <w:rsid w:val="1DB15797"/>
    <w:rsid w:val="1DC43BC4"/>
    <w:rsid w:val="1DCC34E5"/>
    <w:rsid w:val="1DCF2EDB"/>
    <w:rsid w:val="1DDE47B5"/>
    <w:rsid w:val="1DE56A6A"/>
    <w:rsid w:val="1DFD5D66"/>
    <w:rsid w:val="1E1C0F23"/>
    <w:rsid w:val="1E1D3350"/>
    <w:rsid w:val="1E2D3856"/>
    <w:rsid w:val="1E2E6394"/>
    <w:rsid w:val="1E493A73"/>
    <w:rsid w:val="1E4C7C99"/>
    <w:rsid w:val="1E6E29BC"/>
    <w:rsid w:val="1E721FE6"/>
    <w:rsid w:val="1E842EE0"/>
    <w:rsid w:val="1EA5131C"/>
    <w:rsid w:val="1EAC0652"/>
    <w:rsid w:val="1EC012AB"/>
    <w:rsid w:val="1EC33879"/>
    <w:rsid w:val="1EC97015"/>
    <w:rsid w:val="1ED25FFE"/>
    <w:rsid w:val="1EDD24BC"/>
    <w:rsid w:val="1EE16ED9"/>
    <w:rsid w:val="1EEA0C85"/>
    <w:rsid w:val="1F1E5DB2"/>
    <w:rsid w:val="1F293665"/>
    <w:rsid w:val="1F2D7AB7"/>
    <w:rsid w:val="1F3C203A"/>
    <w:rsid w:val="1F4154A3"/>
    <w:rsid w:val="1F495793"/>
    <w:rsid w:val="1F4F31D2"/>
    <w:rsid w:val="1F8B4035"/>
    <w:rsid w:val="1F8E5C30"/>
    <w:rsid w:val="1F8F3B44"/>
    <w:rsid w:val="1FA042BC"/>
    <w:rsid w:val="1FAD75BF"/>
    <w:rsid w:val="1FB468E3"/>
    <w:rsid w:val="1FB87C4A"/>
    <w:rsid w:val="1FDE1119"/>
    <w:rsid w:val="1FDE5CF0"/>
    <w:rsid w:val="1FF63782"/>
    <w:rsid w:val="20055D8E"/>
    <w:rsid w:val="2010595F"/>
    <w:rsid w:val="20444A13"/>
    <w:rsid w:val="204A3E68"/>
    <w:rsid w:val="204E2B4B"/>
    <w:rsid w:val="204F627F"/>
    <w:rsid w:val="20577738"/>
    <w:rsid w:val="205B6F25"/>
    <w:rsid w:val="206E2E6F"/>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B63F8"/>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6F2366"/>
    <w:rsid w:val="227167CA"/>
    <w:rsid w:val="22727FD0"/>
    <w:rsid w:val="227B0B71"/>
    <w:rsid w:val="22805B8B"/>
    <w:rsid w:val="228135D1"/>
    <w:rsid w:val="2281465F"/>
    <w:rsid w:val="22A13519"/>
    <w:rsid w:val="22B23E9D"/>
    <w:rsid w:val="22C54E5E"/>
    <w:rsid w:val="22C84261"/>
    <w:rsid w:val="22CA6D56"/>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7D9"/>
    <w:rsid w:val="24CE18C8"/>
    <w:rsid w:val="24DB7584"/>
    <w:rsid w:val="24DC690A"/>
    <w:rsid w:val="24DF68C8"/>
    <w:rsid w:val="24E113F5"/>
    <w:rsid w:val="24E70DDF"/>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7056BF"/>
    <w:rsid w:val="2682002D"/>
    <w:rsid w:val="268426E2"/>
    <w:rsid w:val="26871BB0"/>
    <w:rsid w:val="268D61F7"/>
    <w:rsid w:val="26915CA2"/>
    <w:rsid w:val="26BF485A"/>
    <w:rsid w:val="26E32255"/>
    <w:rsid w:val="26EA75CE"/>
    <w:rsid w:val="26EC6E10"/>
    <w:rsid w:val="26EF32CA"/>
    <w:rsid w:val="26F37CBE"/>
    <w:rsid w:val="26F954F1"/>
    <w:rsid w:val="27107BF5"/>
    <w:rsid w:val="27326E8F"/>
    <w:rsid w:val="2735468D"/>
    <w:rsid w:val="274A6662"/>
    <w:rsid w:val="27570A55"/>
    <w:rsid w:val="275C2CB3"/>
    <w:rsid w:val="276A0443"/>
    <w:rsid w:val="276C1027"/>
    <w:rsid w:val="277328A2"/>
    <w:rsid w:val="27746913"/>
    <w:rsid w:val="2775446F"/>
    <w:rsid w:val="278B2D28"/>
    <w:rsid w:val="27947308"/>
    <w:rsid w:val="2796033D"/>
    <w:rsid w:val="27B60AFD"/>
    <w:rsid w:val="27B914E9"/>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B361A"/>
    <w:rsid w:val="29232AF9"/>
    <w:rsid w:val="2925011C"/>
    <w:rsid w:val="29291D27"/>
    <w:rsid w:val="29334E58"/>
    <w:rsid w:val="29342C80"/>
    <w:rsid w:val="293F4FBE"/>
    <w:rsid w:val="294D1445"/>
    <w:rsid w:val="296D72E7"/>
    <w:rsid w:val="296E5C00"/>
    <w:rsid w:val="29776B33"/>
    <w:rsid w:val="297C4F1B"/>
    <w:rsid w:val="29821EF7"/>
    <w:rsid w:val="29841FF1"/>
    <w:rsid w:val="299159E7"/>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335B8"/>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7B0C"/>
    <w:rsid w:val="2AA16B48"/>
    <w:rsid w:val="2AA71A15"/>
    <w:rsid w:val="2AAB20D4"/>
    <w:rsid w:val="2AB072BA"/>
    <w:rsid w:val="2ABC14DB"/>
    <w:rsid w:val="2ABE3874"/>
    <w:rsid w:val="2ACA1D12"/>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B4BB9"/>
    <w:rsid w:val="2DD70417"/>
    <w:rsid w:val="2DDB0F96"/>
    <w:rsid w:val="2DE35418"/>
    <w:rsid w:val="2E0D4E92"/>
    <w:rsid w:val="2E101687"/>
    <w:rsid w:val="2E126562"/>
    <w:rsid w:val="2E1B62A5"/>
    <w:rsid w:val="2E1D58DE"/>
    <w:rsid w:val="2E32124B"/>
    <w:rsid w:val="2E3931A6"/>
    <w:rsid w:val="2E3F01AF"/>
    <w:rsid w:val="2E4D43C9"/>
    <w:rsid w:val="2E5513C9"/>
    <w:rsid w:val="2E564CDD"/>
    <w:rsid w:val="2E575F25"/>
    <w:rsid w:val="2E581950"/>
    <w:rsid w:val="2E5865F6"/>
    <w:rsid w:val="2E664B44"/>
    <w:rsid w:val="2E6700E1"/>
    <w:rsid w:val="2E6E3AC1"/>
    <w:rsid w:val="2E806A22"/>
    <w:rsid w:val="2E8C2695"/>
    <w:rsid w:val="2E986EE0"/>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9251E4"/>
    <w:rsid w:val="2FA557A7"/>
    <w:rsid w:val="2FBD3859"/>
    <w:rsid w:val="2FC40827"/>
    <w:rsid w:val="2FCC6278"/>
    <w:rsid w:val="2FE73242"/>
    <w:rsid w:val="2FEB512F"/>
    <w:rsid w:val="2FF06294"/>
    <w:rsid w:val="2FF13DD5"/>
    <w:rsid w:val="2FF66C8B"/>
    <w:rsid w:val="2FF9135A"/>
    <w:rsid w:val="300F6B5F"/>
    <w:rsid w:val="30121DB6"/>
    <w:rsid w:val="30194267"/>
    <w:rsid w:val="30265DB3"/>
    <w:rsid w:val="303D2A1B"/>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4C2760"/>
    <w:rsid w:val="316244B7"/>
    <w:rsid w:val="316F1595"/>
    <w:rsid w:val="31854918"/>
    <w:rsid w:val="31963578"/>
    <w:rsid w:val="31A32722"/>
    <w:rsid w:val="31A91D45"/>
    <w:rsid w:val="31AC7DF1"/>
    <w:rsid w:val="31AE5339"/>
    <w:rsid w:val="31BA0E10"/>
    <w:rsid w:val="31BB2CDB"/>
    <w:rsid w:val="31C44658"/>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87B6A"/>
    <w:rsid w:val="328B4355"/>
    <w:rsid w:val="32941EA4"/>
    <w:rsid w:val="32A17E90"/>
    <w:rsid w:val="32B366CE"/>
    <w:rsid w:val="32BB3603"/>
    <w:rsid w:val="32BE6424"/>
    <w:rsid w:val="32BF74CC"/>
    <w:rsid w:val="32C246E2"/>
    <w:rsid w:val="32C31C14"/>
    <w:rsid w:val="32C753E9"/>
    <w:rsid w:val="32CD393F"/>
    <w:rsid w:val="32CF3752"/>
    <w:rsid w:val="32DD7534"/>
    <w:rsid w:val="32F64C2C"/>
    <w:rsid w:val="32FD0FA8"/>
    <w:rsid w:val="33022768"/>
    <w:rsid w:val="331B6ED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D24A6B"/>
    <w:rsid w:val="34DE386F"/>
    <w:rsid w:val="34E06A6B"/>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579C1"/>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DA71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C454C6"/>
    <w:rsid w:val="3FC657A0"/>
    <w:rsid w:val="3FD86B47"/>
    <w:rsid w:val="3FE31D82"/>
    <w:rsid w:val="3FEE7226"/>
    <w:rsid w:val="3FF60A01"/>
    <w:rsid w:val="400C2C3F"/>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C1C7A"/>
    <w:rsid w:val="40D145D9"/>
    <w:rsid w:val="40DA6699"/>
    <w:rsid w:val="40E81F30"/>
    <w:rsid w:val="4107385B"/>
    <w:rsid w:val="4113642B"/>
    <w:rsid w:val="41151751"/>
    <w:rsid w:val="411D5581"/>
    <w:rsid w:val="411F13DA"/>
    <w:rsid w:val="41225E28"/>
    <w:rsid w:val="413635BD"/>
    <w:rsid w:val="413B717B"/>
    <w:rsid w:val="413E7731"/>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1F3B2A"/>
    <w:rsid w:val="4328234D"/>
    <w:rsid w:val="4328318E"/>
    <w:rsid w:val="4337362E"/>
    <w:rsid w:val="43377A41"/>
    <w:rsid w:val="433C0AD9"/>
    <w:rsid w:val="43474516"/>
    <w:rsid w:val="435C2DD4"/>
    <w:rsid w:val="43606EE8"/>
    <w:rsid w:val="436D6C7E"/>
    <w:rsid w:val="43741116"/>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C5736C"/>
    <w:rsid w:val="45D077D4"/>
    <w:rsid w:val="45DE6754"/>
    <w:rsid w:val="45EF1E60"/>
    <w:rsid w:val="45F65F21"/>
    <w:rsid w:val="45F877F1"/>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B839C4"/>
    <w:rsid w:val="49D94FE5"/>
    <w:rsid w:val="49F43B8C"/>
    <w:rsid w:val="49F678F8"/>
    <w:rsid w:val="4A0D10B0"/>
    <w:rsid w:val="4A223490"/>
    <w:rsid w:val="4A280924"/>
    <w:rsid w:val="4A2B1DEA"/>
    <w:rsid w:val="4A2D0F49"/>
    <w:rsid w:val="4A3523B2"/>
    <w:rsid w:val="4A443451"/>
    <w:rsid w:val="4A483D90"/>
    <w:rsid w:val="4A615695"/>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BE5648"/>
    <w:rsid w:val="4BD70D0D"/>
    <w:rsid w:val="4BE55BB9"/>
    <w:rsid w:val="4BE75CB2"/>
    <w:rsid w:val="4BEE16DF"/>
    <w:rsid w:val="4BF2074E"/>
    <w:rsid w:val="4C0F5E43"/>
    <w:rsid w:val="4C23594D"/>
    <w:rsid w:val="4C2941CA"/>
    <w:rsid w:val="4C2E7524"/>
    <w:rsid w:val="4C380520"/>
    <w:rsid w:val="4C3979DB"/>
    <w:rsid w:val="4C3D2514"/>
    <w:rsid w:val="4C3E0FF7"/>
    <w:rsid w:val="4C4128E4"/>
    <w:rsid w:val="4C423AC8"/>
    <w:rsid w:val="4C642696"/>
    <w:rsid w:val="4C753405"/>
    <w:rsid w:val="4C834096"/>
    <w:rsid w:val="4C847B8A"/>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40C26"/>
    <w:rsid w:val="4D1B2635"/>
    <w:rsid w:val="4D2251B3"/>
    <w:rsid w:val="4D2A31DF"/>
    <w:rsid w:val="4D3071CD"/>
    <w:rsid w:val="4D463441"/>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5E566C"/>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705C8"/>
    <w:rsid w:val="519B3A9C"/>
    <w:rsid w:val="51B33439"/>
    <w:rsid w:val="51B3391D"/>
    <w:rsid w:val="51B66D18"/>
    <w:rsid w:val="51BD3E01"/>
    <w:rsid w:val="51CB7231"/>
    <w:rsid w:val="51DE6A73"/>
    <w:rsid w:val="51F326E7"/>
    <w:rsid w:val="52037937"/>
    <w:rsid w:val="521956B4"/>
    <w:rsid w:val="52306F10"/>
    <w:rsid w:val="523F19CF"/>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D5A18"/>
    <w:rsid w:val="52F804A2"/>
    <w:rsid w:val="53002131"/>
    <w:rsid w:val="5309223C"/>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F6E85"/>
    <w:rsid w:val="53F050F7"/>
    <w:rsid w:val="53FD74A7"/>
    <w:rsid w:val="54026475"/>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B56EED"/>
    <w:rsid w:val="54D509EC"/>
    <w:rsid w:val="54D73DC0"/>
    <w:rsid w:val="54D94CB6"/>
    <w:rsid w:val="55093E22"/>
    <w:rsid w:val="553266E7"/>
    <w:rsid w:val="553413DD"/>
    <w:rsid w:val="55367F4D"/>
    <w:rsid w:val="553A13A9"/>
    <w:rsid w:val="55440B0E"/>
    <w:rsid w:val="55494A31"/>
    <w:rsid w:val="554B1F27"/>
    <w:rsid w:val="556D79E1"/>
    <w:rsid w:val="557370C9"/>
    <w:rsid w:val="55794F8B"/>
    <w:rsid w:val="557B4C8B"/>
    <w:rsid w:val="55832F33"/>
    <w:rsid w:val="558A5F58"/>
    <w:rsid w:val="558D782E"/>
    <w:rsid w:val="558F42FA"/>
    <w:rsid w:val="55951C70"/>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5874D5"/>
    <w:rsid w:val="56597936"/>
    <w:rsid w:val="565A3745"/>
    <w:rsid w:val="56674043"/>
    <w:rsid w:val="566A4A9E"/>
    <w:rsid w:val="56890707"/>
    <w:rsid w:val="5694199B"/>
    <w:rsid w:val="56A010CA"/>
    <w:rsid w:val="56A8433D"/>
    <w:rsid w:val="56B50793"/>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71B76"/>
    <w:rsid w:val="57290486"/>
    <w:rsid w:val="57495B53"/>
    <w:rsid w:val="57555665"/>
    <w:rsid w:val="575F3DA0"/>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51D86"/>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383FC3"/>
    <w:rsid w:val="593B0E3D"/>
    <w:rsid w:val="594C374D"/>
    <w:rsid w:val="59523F34"/>
    <w:rsid w:val="59565A07"/>
    <w:rsid w:val="595912C2"/>
    <w:rsid w:val="59826013"/>
    <w:rsid w:val="598C6A35"/>
    <w:rsid w:val="599312D8"/>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4606"/>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2F09CE"/>
    <w:rsid w:val="5D4C2BA0"/>
    <w:rsid w:val="5D604556"/>
    <w:rsid w:val="5DA03427"/>
    <w:rsid w:val="5DA12B26"/>
    <w:rsid w:val="5DA52D6F"/>
    <w:rsid w:val="5DBE365D"/>
    <w:rsid w:val="5DF242AA"/>
    <w:rsid w:val="5DF27D5A"/>
    <w:rsid w:val="5DF90388"/>
    <w:rsid w:val="5E033F14"/>
    <w:rsid w:val="5E040059"/>
    <w:rsid w:val="5E084C7B"/>
    <w:rsid w:val="5E0914A4"/>
    <w:rsid w:val="5E0A5C5D"/>
    <w:rsid w:val="5E1844B1"/>
    <w:rsid w:val="5E1F00DC"/>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A70E7"/>
    <w:rsid w:val="5F7413ED"/>
    <w:rsid w:val="5F74277E"/>
    <w:rsid w:val="5F771E2C"/>
    <w:rsid w:val="5F817E11"/>
    <w:rsid w:val="5F916B4B"/>
    <w:rsid w:val="5F9C1A78"/>
    <w:rsid w:val="5FA76A91"/>
    <w:rsid w:val="5FBA5EC2"/>
    <w:rsid w:val="5FC57C91"/>
    <w:rsid w:val="5FCE245F"/>
    <w:rsid w:val="5FD32219"/>
    <w:rsid w:val="5FDC1B9B"/>
    <w:rsid w:val="5FF50B7C"/>
    <w:rsid w:val="5FF74A8C"/>
    <w:rsid w:val="5FF80F4A"/>
    <w:rsid w:val="5FFB1252"/>
    <w:rsid w:val="60072412"/>
    <w:rsid w:val="600E0E1E"/>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A430E"/>
    <w:rsid w:val="623B63B7"/>
    <w:rsid w:val="623F4920"/>
    <w:rsid w:val="62494F09"/>
    <w:rsid w:val="624A1B49"/>
    <w:rsid w:val="624E45D8"/>
    <w:rsid w:val="6250617C"/>
    <w:rsid w:val="62520DCA"/>
    <w:rsid w:val="62526C82"/>
    <w:rsid w:val="62666F47"/>
    <w:rsid w:val="62690F67"/>
    <w:rsid w:val="627A370F"/>
    <w:rsid w:val="62990512"/>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B84681"/>
    <w:rsid w:val="63C75B92"/>
    <w:rsid w:val="63CA29B9"/>
    <w:rsid w:val="63D3253C"/>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2A63"/>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843C27"/>
    <w:rsid w:val="668A358B"/>
    <w:rsid w:val="66A22294"/>
    <w:rsid w:val="66B167D9"/>
    <w:rsid w:val="66B718F6"/>
    <w:rsid w:val="66B77C96"/>
    <w:rsid w:val="66C6028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407D5"/>
    <w:rsid w:val="683F785C"/>
    <w:rsid w:val="68570DC2"/>
    <w:rsid w:val="6865768E"/>
    <w:rsid w:val="6868422B"/>
    <w:rsid w:val="68756660"/>
    <w:rsid w:val="687B65AE"/>
    <w:rsid w:val="68847A53"/>
    <w:rsid w:val="68910854"/>
    <w:rsid w:val="68A208F6"/>
    <w:rsid w:val="68A864AF"/>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B22B9"/>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337910"/>
    <w:rsid w:val="6C404FA0"/>
    <w:rsid w:val="6C4B4E38"/>
    <w:rsid w:val="6C5343CE"/>
    <w:rsid w:val="6C5643DD"/>
    <w:rsid w:val="6C6A178A"/>
    <w:rsid w:val="6C7257CE"/>
    <w:rsid w:val="6C727D8C"/>
    <w:rsid w:val="6C7C29A7"/>
    <w:rsid w:val="6C804214"/>
    <w:rsid w:val="6C866650"/>
    <w:rsid w:val="6CB56876"/>
    <w:rsid w:val="6CB569E9"/>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52252A"/>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E56CB3"/>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B4086"/>
    <w:rsid w:val="75DF68BB"/>
    <w:rsid w:val="75E417B2"/>
    <w:rsid w:val="76132FE4"/>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E25D0"/>
    <w:rsid w:val="76D64223"/>
    <w:rsid w:val="76E30140"/>
    <w:rsid w:val="76E61D96"/>
    <w:rsid w:val="76EB730E"/>
    <w:rsid w:val="76F63E3A"/>
    <w:rsid w:val="76F754DC"/>
    <w:rsid w:val="77363120"/>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25455"/>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5718DC"/>
    <w:rsid w:val="795A7853"/>
    <w:rsid w:val="79625528"/>
    <w:rsid w:val="7963001B"/>
    <w:rsid w:val="796411F3"/>
    <w:rsid w:val="796528F1"/>
    <w:rsid w:val="79782668"/>
    <w:rsid w:val="797D7C7B"/>
    <w:rsid w:val="798473C1"/>
    <w:rsid w:val="798D0CB1"/>
    <w:rsid w:val="79A86E7D"/>
    <w:rsid w:val="79A917D5"/>
    <w:rsid w:val="79F866D7"/>
    <w:rsid w:val="7A0D5030"/>
    <w:rsid w:val="7A1F0B92"/>
    <w:rsid w:val="7A2F0FE2"/>
    <w:rsid w:val="7A2F6A25"/>
    <w:rsid w:val="7A320603"/>
    <w:rsid w:val="7A375628"/>
    <w:rsid w:val="7A3B0D02"/>
    <w:rsid w:val="7A3C0448"/>
    <w:rsid w:val="7A462225"/>
    <w:rsid w:val="7A4B1579"/>
    <w:rsid w:val="7A4E44E1"/>
    <w:rsid w:val="7A56012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C1687"/>
    <w:rsid w:val="7DDC5561"/>
    <w:rsid w:val="7DE53A1D"/>
    <w:rsid w:val="7DE805EC"/>
    <w:rsid w:val="7DEE1D9E"/>
    <w:rsid w:val="7DF90378"/>
    <w:rsid w:val="7DFB2768"/>
    <w:rsid w:val="7E0B1ECA"/>
    <w:rsid w:val="7E0D1655"/>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3"/>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5">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6">
    <w:name w:val="heading 3"/>
    <w:basedOn w:val="5"/>
    <w:next w:val="1"/>
    <w:link w:val="73"/>
    <w:qFormat/>
    <w:uiPriority w:val="0"/>
    <w:pPr>
      <w:numPr>
        <w:ilvl w:val="2"/>
      </w:numPr>
      <w:tabs>
        <w:tab w:val="clear" w:pos="575"/>
      </w:tabs>
      <w:spacing w:before="260" w:after="260" w:line="416" w:lineRule="auto"/>
      <w:outlineLvl w:val="2"/>
    </w:pPr>
    <w:rPr>
      <w:b/>
      <w:bCs/>
    </w:rPr>
  </w:style>
  <w:style w:type="paragraph" w:styleId="7">
    <w:name w:val="heading 4"/>
    <w:basedOn w:val="6"/>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8">
    <w:name w:val="heading 5"/>
    <w:basedOn w:val="7"/>
    <w:next w:val="1"/>
    <w:link w:val="75"/>
    <w:qFormat/>
    <w:uiPriority w:val="0"/>
    <w:pPr>
      <w:keepNext/>
      <w:keepLines/>
      <w:tabs>
        <w:tab w:val="left" w:pos="1008"/>
        <w:tab w:val="left" w:pos="2383"/>
        <w:tab w:val="clear" w:pos="864"/>
        <w:tab w:val="clear" w:pos="2071"/>
      </w:tabs>
      <w:spacing w:before="280" w:after="290" w:line="372" w:lineRule="auto"/>
      <w:ind w:left="2196" w:hanging="528"/>
      <w:outlineLvl w:val="4"/>
    </w:pPr>
    <w:rPr>
      <w:sz w:val="28"/>
    </w:rPr>
  </w:style>
  <w:style w:type="paragraph" w:styleId="9">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10">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11">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2">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3">
    <w:name w:val="Doc-title"/>
    <w:basedOn w:val="1"/>
    <w:next w:val="4"/>
    <w:link w:val="110"/>
    <w:qFormat/>
    <w:uiPriority w:val="0"/>
    <w:pPr>
      <w:widowControl/>
      <w:ind w:left="1260" w:hanging="1260"/>
      <w:jc w:val="left"/>
    </w:pPr>
    <w:rPr>
      <w:rFonts w:ascii="Arial" w:hAnsi="Arial" w:eastAsia="MS Mincho"/>
      <w:kern w:val="0"/>
      <w:sz w:val="20"/>
      <w:lang w:val="en-GB" w:eastAsia="en-GB"/>
    </w:rPr>
  </w:style>
  <w:style w:type="paragraph" w:customStyle="1" w:styleId="4">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paragraph" w:styleId="13">
    <w:name w:val="List 3"/>
    <w:basedOn w:val="14"/>
    <w:qFormat/>
    <w:uiPriority w:val="0"/>
    <w:pPr>
      <w:widowControl/>
      <w:spacing w:before="40"/>
      <w:ind w:left="849" w:hanging="283"/>
      <w:jc w:val="left"/>
    </w:pPr>
    <w:rPr>
      <w:rFonts w:ascii="Arial" w:hAnsi="Arial" w:eastAsia="MS Mincho"/>
      <w:kern w:val="0"/>
      <w:sz w:val="20"/>
      <w:lang w:val="en-GB" w:eastAsia="en-GB"/>
    </w:rPr>
  </w:style>
  <w:style w:type="paragraph" w:styleId="14">
    <w:name w:val="List 2"/>
    <w:basedOn w:val="15"/>
    <w:unhideWhenUsed/>
    <w:qFormat/>
    <w:uiPriority w:val="0"/>
    <w:pPr>
      <w:ind w:left="100" w:leftChars="200"/>
    </w:pPr>
  </w:style>
  <w:style w:type="paragraph" w:styleId="15">
    <w:name w:val="List"/>
    <w:basedOn w:val="1"/>
    <w:unhideWhenUsed/>
    <w:qFormat/>
    <w:uiPriority w:val="0"/>
    <w:pPr>
      <w:ind w:left="200" w:hanging="200" w:hangingChars="200"/>
      <w:contextualSpacing/>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89"/>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70"/>
    <w:unhideWhenUsed/>
    <w:qFormat/>
    <w:uiPriority w:val="0"/>
    <w:rPr>
      <w:rFonts w:ascii="宋体"/>
      <w:sz w:val="18"/>
      <w:szCs w:val="18"/>
    </w:rPr>
  </w:style>
  <w:style w:type="paragraph" w:styleId="27">
    <w:name w:val="annotation text"/>
    <w:basedOn w:val="1"/>
    <w:link w:val="175"/>
    <w:unhideWhenUsed/>
    <w:qFormat/>
    <w:uiPriority w:val="0"/>
    <w:pPr>
      <w:jc w:val="left"/>
    </w:pPr>
  </w:style>
  <w:style w:type="paragraph" w:styleId="28">
    <w:name w:val="index 6"/>
    <w:basedOn w:val="1"/>
    <w:next w:val="1"/>
    <w:qFormat/>
    <w:uiPriority w:val="0"/>
    <w:pPr>
      <w:ind w:left="1260" w:hanging="210"/>
      <w:jc w:val="left"/>
    </w:pPr>
    <w:rPr>
      <w:rFonts w:ascii="Calibri" w:hAnsi="Calibri"/>
      <w:sz w:val="20"/>
      <w:szCs w:val="20"/>
    </w:rPr>
  </w:style>
  <w:style w:type="paragraph" w:styleId="29">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30">
    <w:name w:val="index 4"/>
    <w:basedOn w:val="1"/>
    <w:next w:val="1"/>
    <w:qFormat/>
    <w:uiPriority w:val="0"/>
    <w:pPr>
      <w:ind w:left="840" w:hanging="210"/>
      <w:jc w:val="left"/>
    </w:pPr>
    <w:rPr>
      <w:rFonts w:ascii="Calibri" w:hAnsi="Calibri"/>
      <w:sz w:val="20"/>
      <w:szCs w:val="20"/>
    </w:rPr>
  </w:style>
  <w:style w:type="paragraph" w:styleId="31">
    <w:name w:val="toc 5"/>
    <w:basedOn w:val="1"/>
    <w:next w:val="1"/>
    <w:qFormat/>
    <w:uiPriority w:val="0"/>
    <w:pPr>
      <w:tabs>
        <w:tab w:val="right" w:leader="dot" w:pos="9241"/>
      </w:tabs>
      <w:ind w:firstLine="300" w:firstLineChars="300"/>
      <w:jc w:val="left"/>
    </w:pPr>
    <w:rPr>
      <w:rFonts w:ascii="宋体"/>
      <w:szCs w:val="21"/>
    </w:rPr>
  </w:style>
  <w:style w:type="paragraph" w:styleId="32">
    <w:name w:val="toc 3"/>
    <w:basedOn w:val="1"/>
    <w:next w:val="1"/>
    <w:qFormat/>
    <w:uiPriority w:val="0"/>
    <w:pPr>
      <w:tabs>
        <w:tab w:val="right" w:leader="dot" w:pos="9241"/>
      </w:tabs>
      <w:ind w:firstLine="100" w:firstLineChars="100"/>
      <w:jc w:val="left"/>
    </w:pPr>
    <w:rPr>
      <w:rFonts w:ascii="宋体"/>
      <w:szCs w:val="21"/>
    </w:rPr>
  </w:style>
  <w:style w:type="paragraph" w:styleId="33">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4">
    <w:name w:val="List Bullet 5"/>
    <w:basedOn w:val="19"/>
    <w:qFormat/>
    <w:uiPriority w:val="0"/>
    <w:pPr>
      <w:ind w:left="1702"/>
    </w:pPr>
  </w:style>
  <w:style w:type="paragraph" w:styleId="35">
    <w:name w:val="toc 8"/>
    <w:basedOn w:val="1"/>
    <w:next w:val="1"/>
    <w:qFormat/>
    <w:uiPriority w:val="0"/>
    <w:pPr>
      <w:tabs>
        <w:tab w:val="right" w:leader="dot" w:pos="9241"/>
      </w:tabs>
      <w:ind w:firstLine="607" w:firstLineChars="600"/>
      <w:jc w:val="left"/>
    </w:pPr>
    <w:rPr>
      <w:rFonts w:ascii="宋体"/>
      <w:szCs w:val="21"/>
    </w:rPr>
  </w:style>
  <w:style w:type="paragraph" w:styleId="36">
    <w:name w:val="index 3"/>
    <w:basedOn w:val="1"/>
    <w:next w:val="1"/>
    <w:qFormat/>
    <w:uiPriority w:val="0"/>
    <w:pPr>
      <w:ind w:left="630" w:hanging="210"/>
      <w:jc w:val="left"/>
    </w:pPr>
    <w:rPr>
      <w:rFonts w:ascii="Calibri" w:hAnsi="Calibri"/>
      <w:sz w:val="20"/>
      <w:szCs w:val="20"/>
    </w:rPr>
  </w:style>
  <w:style w:type="paragraph" w:styleId="37">
    <w:name w:val="endnote text"/>
    <w:basedOn w:val="1"/>
    <w:link w:val="192"/>
    <w:qFormat/>
    <w:uiPriority w:val="0"/>
    <w:pPr>
      <w:snapToGrid w:val="0"/>
      <w:jc w:val="left"/>
    </w:pPr>
  </w:style>
  <w:style w:type="paragraph" w:styleId="38">
    <w:name w:val="Balloon Text"/>
    <w:basedOn w:val="1"/>
    <w:link w:val="68"/>
    <w:unhideWhenUsed/>
    <w:qFormat/>
    <w:uiPriority w:val="0"/>
    <w:rPr>
      <w:sz w:val="18"/>
      <w:szCs w:val="18"/>
    </w:rPr>
  </w:style>
  <w:style w:type="paragraph" w:styleId="39">
    <w:name w:val="footer"/>
    <w:basedOn w:val="1"/>
    <w:link w:val="112"/>
    <w:qFormat/>
    <w:uiPriority w:val="99"/>
    <w:pPr>
      <w:tabs>
        <w:tab w:val="center" w:pos="4153"/>
        <w:tab w:val="right" w:pos="8306"/>
      </w:tabs>
      <w:snapToGrid w:val="0"/>
      <w:jc w:val="left"/>
    </w:pPr>
    <w:rPr>
      <w:sz w:val="18"/>
      <w:szCs w:val="18"/>
    </w:rPr>
  </w:style>
  <w:style w:type="paragraph" w:styleId="40">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1">
    <w:name w:val="toc 1"/>
    <w:basedOn w:val="1"/>
    <w:next w:val="1"/>
    <w:qFormat/>
    <w:uiPriority w:val="39"/>
    <w:pPr>
      <w:tabs>
        <w:tab w:val="right" w:leader="dot" w:pos="9242"/>
      </w:tabs>
      <w:spacing w:beforeLines="25" w:afterLines="25"/>
      <w:jc w:val="left"/>
    </w:pPr>
    <w:rPr>
      <w:rFonts w:ascii="宋体"/>
      <w:szCs w:val="21"/>
    </w:rPr>
  </w:style>
  <w:style w:type="paragraph" w:styleId="42">
    <w:name w:val="toc 4"/>
    <w:basedOn w:val="1"/>
    <w:next w:val="1"/>
    <w:qFormat/>
    <w:uiPriority w:val="0"/>
    <w:pPr>
      <w:tabs>
        <w:tab w:val="right" w:leader="dot" w:pos="9241"/>
      </w:tabs>
      <w:ind w:firstLine="200" w:firstLineChars="200"/>
      <w:jc w:val="left"/>
    </w:pPr>
    <w:rPr>
      <w:rFonts w:ascii="宋体"/>
      <w:szCs w:val="21"/>
    </w:rPr>
  </w:style>
  <w:style w:type="paragraph" w:styleId="43">
    <w:name w:val="index heading"/>
    <w:basedOn w:val="1"/>
    <w:next w:val="44"/>
    <w:qFormat/>
    <w:uiPriority w:val="0"/>
    <w:pPr>
      <w:spacing w:before="120" w:after="120"/>
      <w:jc w:val="center"/>
    </w:pPr>
    <w:rPr>
      <w:rFonts w:ascii="Calibri" w:hAnsi="Calibri"/>
      <w:b/>
      <w:bCs/>
      <w:iCs/>
      <w:szCs w:val="20"/>
    </w:rPr>
  </w:style>
  <w:style w:type="paragraph" w:styleId="44">
    <w:name w:val="index 1"/>
    <w:basedOn w:val="1"/>
    <w:next w:val="45"/>
    <w:qFormat/>
    <w:uiPriority w:val="0"/>
    <w:pPr>
      <w:tabs>
        <w:tab w:val="right" w:leader="dot" w:pos="9299"/>
      </w:tabs>
      <w:jc w:val="left"/>
    </w:pPr>
    <w:rPr>
      <w:rFonts w:ascii="宋体"/>
      <w:szCs w:val="21"/>
    </w:rPr>
  </w:style>
  <w:style w:type="paragraph" w:customStyle="1" w:styleId="45">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6">
    <w:name w:val="footnote text"/>
    <w:basedOn w:val="1"/>
    <w:link w:val="149"/>
    <w:qFormat/>
    <w:uiPriority w:val="0"/>
    <w:pPr>
      <w:tabs>
        <w:tab w:val="left" w:pos="0"/>
      </w:tabs>
      <w:snapToGrid w:val="0"/>
      <w:jc w:val="left"/>
    </w:pPr>
    <w:rPr>
      <w:rFonts w:ascii="宋体"/>
      <w:sz w:val="18"/>
      <w:szCs w:val="18"/>
    </w:rPr>
  </w:style>
  <w:style w:type="paragraph" w:styleId="47">
    <w:name w:val="toc 6"/>
    <w:basedOn w:val="1"/>
    <w:next w:val="1"/>
    <w:qFormat/>
    <w:uiPriority w:val="0"/>
    <w:pPr>
      <w:tabs>
        <w:tab w:val="right" w:leader="dot" w:pos="9241"/>
      </w:tabs>
      <w:ind w:firstLine="400" w:firstLineChars="400"/>
      <w:jc w:val="left"/>
    </w:pPr>
    <w:rPr>
      <w:rFonts w:ascii="宋体"/>
      <w:szCs w:val="21"/>
    </w:rPr>
  </w:style>
  <w:style w:type="paragraph" w:styleId="48">
    <w:name w:val="List 5"/>
    <w:basedOn w:val="49"/>
    <w:qFormat/>
    <w:uiPriority w:val="0"/>
    <w:pPr>
      <w:ind w:left="1702"/>
    </w:pPr>
  </w:style>
  <w:style w:type="paragraph" w:styleId="49">
    <w:name w:val="List 4"/>
    <w:basedOn w:val="13"/>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50">
    <w:name w:val="index 7"/>
    <w:basedOn w:val="1"/>
    <w:next w:val="1"/>
    <w:qFormat/>
    <w:uiPriority w:val="0"/>
    <w:pPr>
      <w:ind w:left="1470" w:hanging="210"/>
      <w:jc w:val="left"/>
    </w:pPr>
    <w:rPr>
      <w:rFonts w:ascii="Calibri" w:hAnsi="Calibri"/>
      <w:sz w:val="20"/>
      <w:szCs w:val="20"/>
    </w:rPr>
  </w:style>
  <w:style w:type="paragraph" w:styleId="51">
    <w:name w:val="index 9"/>
    <w:basedOn w:val="1"/>
    <w:next w:val="1"/>
    <w:qFormat/>
    <w:uiPriority w:val="0"/>
    <w:pPr>
      <w:ind w:left="1890" w:hanging="210"/>
      <w:jc w:val="left"/>
    </w:pPr>
    <w:rPr>
      <w:rFonts w:ascii="Calibri" w:hAnsi="Calibri"/>
      <w:sz w:val="20"/>
      <w:szCs w:val="20"/>
    </w:rPr>
  </w:style>
  <w:style w:type="paragraph" w:styleId="52">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3">
    <w:name w:val="toc 2"/>
    <w:basedOn w:val="1"/>
    <w:next w:val="1"/>
    <w:qFormat/>
    <w:uiPriority w:val="39"/>
    <w:pPr>
      <w:tabs>
        <w:tab w:val="right" w:leader="dot" w:pos="9242"/>
      </w:tabs>
    </w:pPr>
    <w:rPr>
      <w:rFonts w:ascii="宋体"/>
      <w:szCs w:val="21"/>
    </w:rPr>
  </w:style>
  <w:style w:type="paragraph" w:styleId="54">
    <w:name w:val="toc 9"/>
    <w:basedOn w:val="1"/>
    <w:next w:val="1"/>
    <w:qFormat/>
    <w:uiPriority w:val="0"/>
    <w:pPr>
      <w:ind w:left="1470"/>
      <w:jc w:val="left"/>
    </w:pPr>
    <w:rPr>
      <w:sz w:val="20"/>
      <w:szCs w:val="20"/>
    </w:rPr>
  </w:style>
  <w:style w:type="paragraph" w:styleId="55">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6">
    <w:name w:val="index 2"/>
    <w:basedOn w:val="1"/>
    <w:next w:val="1"/>
    <w:qFormat/>
    <w:uiPriority w:val="0"/>
    <w:pPr>
      <w:ind w:left="420" w:hanging="210"/>
      <w:jc w:val="left"/>
    </w:pPr>
    <w:rPr>
      <w:rFonts w:ascii="Calibri" w:hAnsi="Calibri"/>
      <w:sz w:val="20"/>
      <w:szCs w:val="20"/>
    </w:rPr>
  </w:style>
  <w:style w:type="paragraph" w:styleId="57">
    <w:name w:val="annotation subject"/>
    <w:basedOn w:val="27"/>
    <w:next w:val="27"/>
    <w:link w:val="91"/>
    <w:semiHidden/>
    <w:qFormat/>
    <w:uiPriority w:val="0"/>
    <w:pPr>
      <w:widowControl/>
      <w:spacing w:before="40"/>
    </w:pPr>
    <w:rPr>
      <w:rFonts w:ascii="Arial" w:hAnsi="Arial" w:eastAsia="MS Mincho"/>
      <w:b/>
      <w:bCs/>
      <w:kern w:val="0"/>
      <w:sz w:val="20"/>
      <w:szCs w:val="20"/>
      <w:lang w:val="en-GB" w:eastAsia="en-GB"/>
    </w:rPr>
  </w:style>
  <w:style w:type="table" w:styleId="59">
    <w:name w:val="Table Grid"/>
    <w:basedOn w:val="5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Balloon Text Char"/>
    <w:basedOn w:val="60"/>
    <w:link w:val="38"/>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Document Map Char"/>
    <w:basedOn w:val="60"/>
    <w:link w:val="26"/>
    <w:qFormat/>
    <w:uiPriority w:val="0"/>
    <w:rPr>
      <w:rFonts w:ascii="宋体"/>
      <w:kern w:val="2"/>
      <w:sz w:val="18"/>
      <w:szCs w:val="18"/>
    </w:rPr>
  </w:style>
  <w:style w:type="character" w:customStyle="1" w:styleId="71">
    <w:name w:val="Heading 1 Char"/>
    <w:basedOn w:val="60"/>
    <w:link w:val="2"/>
    <w:qFormat/>
    <w:uiPriority w:val="0"/>
    <w:rPr>
      <w:b/>
      <w:bCs/>
      <w:kern w:val="44"/>
      <w:sz w:val="44"/>
      <w:szCs w:val="44"/>
    </w:rPr>
  </w:style>
  <w:style w:type="character" w:customStyle="1" w:styleId="72">
    <w:name w:val="Heading 2 Char"/>
    <w:basedOn w:val="60"/>
    <w:link w:val="5"/>
    <w:qFormat/>
    <w:uiPriority w:val="0"/>
    <w:rPr>
      <w:rFonts w:ascii="Arial" w:hAnsi="Arial" w:eastAsia="MS Mincho"/>
      <w:sz w:val="24"/>
      <w:szCs w:val="32"/>
      <w:lang w:val="en-GB"/>
    </w:rPr>
  </w:style>
  <w:style w:type="character" w:customStyle="1" w:styleId="73">
    <w:name w:val="Heading 3 Char"/>
    <w:basedOn w:val="60"/>
    <w:link w:val="6"/>
    <w:qFormat/>
    <w:uiPriority w:val="0"/>
    <w:rPr>
      <w:b/>
      <w:bCs/>
      <w:kern w:val="2"/>
      <w:sz w:val="32"/>
      <w:szCs w:val="32"/>
    </w:rPr>
  </w:style>
  <w:style w:type="character" w:customStyle="1" w:styleId="74">
    <w:name w:val="Heading 4 Char"/>
    <w:basedOn w:val="60"/>
    <w:link w:val="7"/>
    <w:qFormat/>
    <w:uiPriority w:val="0"/>
    <w:rPr>
      <w:rFonts w:ascii="Arial" w:hAnsi="Arial" w:eastAsia="黑体"/>
      <w:b/>
      <w:kern w:val="2"/>
      <w:sz w:val="28"/>
      <w:szCs w:val="24"/>
    </w:rPr>
  </w:style>
  <w:style w:type="character" w:customStyle="1" w:styleId="75">
    <w:name w:val="Heading 5 Char"/>
    <w:basedOn w:val="60"/>
    <w:link w:val="8"/>
    <w:qFormat/>
    <w:uiPriority w:val="0"/>
    <w:rPr>
      <w:b/>
      <w:kern w:val="2"/>
      <w:sz w:val="28"/>
      <w:szCs w:val="24"/>
    </w:rPr>
  </w:style>
  <w:style w:type="character" w:customStyle="1" w:styleId="76">
    <w:name w:val="Heading 6 Char"/>
    <w:basedOn w:val="60"/>
    <w:link w:val="9"/>
    <w:qFormat/>
    <w:uiPriority w:val="0"/>
    <w:rPr>
      <w:rFonts w:ascii="Arial" w:hAnsi="Arial" w:eastAsia="黑体"/>
      <w:b/>
      <w:kern w:val="2"/>
      <w:sz w:val="24"/>
      <w:szCs w:val="24"/>
    </w:rPr>
  </w:style>
  <w:style w:type="character" w:customStyle="1" w:styleId="77">
    <w:name w:val="Heading 7 Char"/>
    <w:basedOn w:val="60"/>
    <w:link w:val="10"/>
    <w:qFormat/>
    <w:uiPriority w:val="0"/>
    <w:rPr>
      <w:b/>
      <w:kern w:val="2"/>
      <w:sz w:val="24"/>
      <w:szCs w:val="24"/>
    </w:rPr>
  </w:style>
  <w:style w:type="character" w:customStyle="1" w:styleId="78">
    <w:name w:val="Heading 8 Char"/>
    <w:basedOn w:val="60"/>
    <w:link w:val="11"/>
    <w:qFormat/>
    <w:uiPriority w:val="0"/>
    <w:rPr>
      <w:rFonts w:ascii="Arial" w:hAnsi="Arial" w:eastAsia="黑体"/>
      <w:kern w:val="2"/>
      <w:sz w:val="24"/>
      <w:szCs w:val="24"/>
    </w:rPr>
  </w:style>
  <w:style w:type="character" w:customStyle="1" w:styleId="79">
    <w:name w:val="Heading 9 Char"/>
    <w:basedOn w:val="60"/>
    <w:link w:val="12"/>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4"/>
    <w:next w:val="4"/>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3"/>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4"/>
    <w:qFormat/>
    <w:uiPriority w:val="99"/>
    <w:rPr>
      <w:rFonts w:ascii="Arial" w:hAnsi="Arial" w:eastAsia="黑体" w:cs="Arial"/>
      <w:kern w:val="2"/>
    </w:rPr>
  </w:style>
  <w:style w:type="character" w:customStyle="1" w:styleId="90">
    <w:name w:val="标题 3 Char Char"/>
    <w:basedOn w:val="60"/>
    <w:qFormat/>
    <w:uiPriority w:val="0"/>
    <w:rPr>
      <w:b/>
      <w:bCs/>
      <w:kern w:val="2"/>
      <w:sz w:val="32"/>
      <w:szCs w:val="32"/>
    </w:rPr>
  </w:style>
  <w:style w:type="character" w:customStyle="1" w:styleId="91">
    <w:name w:val="Comment Subject Char"/>
    <w:basedOn w:val="92"/>
    <w:link w:val="57"/>
    <w:semiHidden/>
    <w:qFormat/>
    <w:uiPriority w:val="0"/>
    <w:rPr>
      <w:rFonts w:ascii="Arial" w:hAnsi="Arial" w:eastAsia="MS Mincho"/>
      <w:b/>
      <w:bCs/>
      <w:lang w:val="en-GB" w:eastAsia="en-GB"/>
    </w:rPr>
  </w:style>
  <w:style w:type="character" w:customStyle="1" w:styleId="92">
    <w:name w:val="批注文字 Char"/>
    <w:basedOn w:val="60"/>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60"/>
    <w:link w:val="45"/>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4"/>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60"/>
    <w:qFormat/>
    <w:uiPriority w:val="0"/>
    <w:rPr>
      <w:b/>
      <w:bCs/>
      <w:kern w:val="44"/>
      <w:sz w:val="44"/>
      <w:szCs w:val="44"/>
    </w:rPr>
  </w:style>
  <w:style w:type="character" w:customStyle="1" w:styleId="110">
    <w:name w:val="Doc-title Char Char"/>
    <w:basedOn w:val="60"/>
    <w:link w:val="3"/>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9"/>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5"/>
    <w:next w:val="45"/>
    <w:link w:val="114"/>
    <w:qFormat/>
    <w:uiPriority w:val="0"/>
  </w:style>
  <w:style w:type="character" w:customStyle="1" w:styleId="116">
    <w:name w:val="Plain Text Char"/>
    <w:basedOn w:val="60"/>
    <w:link w:val="33"/>
    <w:qFormat/>
    <w:uiPriority w:val="99"/>
    <w:rPr>
      <w:rFonts w:ascii="Consolas" w:hAnsi="Consolas" w:eastAsia="Calibri"/>
      <w:sz w:val="21"/>
      <w:szCs w:val="21"/>
      <w:lang w:eastAsia="en-US"/>
    </w:rPr>
  </w:style>
  <w:style w:type="character" w:customStyle="1" w:styleId="117">
    <w:name w:val="首示例 Char Char"/>
    <w:basedOn w:val="60"/>
    <w:link w:val="118"/>
    <w:qFormat/>
    <w:uiPriority w:val="0"/>
    <w:rPr>
      <w:rFonts w:ascii="宋体" w:hAnsi="宋体"/>
      <w:kern w:val="2"/>
      <w:sz w:val="18"/>
      <w:szCs w:val="18"/>
    </w:rPr>
  </w:style>
  <w:style w:type="paragraph" w:customStyle="1" w:styleId="118">
    <w:name w:val="首示例"/>
    <w:next w:val="45"/>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60"/>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3"/>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60"/>
    <w:link w:val="29"/>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3"/>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4"/>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40"/>
    <w:qFormat/>
    <w:uiPriority w:val="99"/>
    <w:rPr>
      <w:kern w:val="2"/>
      <w:sz w:val="18"/>
      <w:szCs w:val="18"/>
    </w:rPr>
  </w:style>
  <w:style w:type="character" w:customStyle="1" w:styleId="130">
    <w:name w:val="Doc-text2 Char Char"/>
    <w:basedOn w:val="60"/>
    <w:link w:val="4"/>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5"/>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5"/>
    <w:qFormat/>
    <w:uiPriority w:val="0"/>
    <w:pPr>
      <w:outlineLvl w:val="4"/>
    </w:pPr>
  </w:style>
  <w:style w:type="paragraph" w:customStyle="1" w:styleId="143">
    <w:name w:val="二级条标题"/>
    <w:basedOn w:val="144"/>
    <w:next w:val="45"/>
    <w:qFormat/>
    <w:uiPriority w:val="0"/>
    <w:pPr>
      <w:spacing w:beforeLines="0" w:afterLines="0"/>
      <w:outlineLvl w:val="3"/>
    </w:pPr>
  </w:style>
  <w:style w:type="paragraph" w:customStyle="1" w:styleId="144">
    <w:name w:val="一级条标题"/>
    <w:next w:val="45"/>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5"/>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5"/>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5"/>
    <w:qFormat/>
    <w:uiPriority w:val="0"/>
    <w:pPr>
      <w:outlineLvl w:val="5"/>
    </w:pPr>
  </w:style>
  <w:style w:type="character" w:customStyle="1" w:styleId="149">
    <w:name w:val="Footnote Text Char"/>
    <w:basedOn w:val="60"/>
    <w:link w:val="46"/>
    <w:qFormat/>
    <w:uiPriority w:val="0"/>
    <w:rPr>
      <w:rFonts w:ascii="宋体"/>
      <w:kern w:val="2"/>
      <w:sz w:val="18"/>
      <w:szCs w:val="18"/>
    </w:rPr>
  </w:style>
  <w:style w:type="paragraph" w:customStyle="1" w:styleId="150">
    <w:name w:val="章标题"/>
    <w:next w:val="45"/>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5"/>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5"/>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5"/>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5"/>
    <w:qFormat/>
    <w:uiPriority w:val="0"/>
    <w:pPr>
      <w:tabs>
        <w:tab w:val="left" w:pos="360"/>
        <w:tab w:val="left" w:pos="864"/>
        <w:tab w:val="left" w:pos="1008"/>
      </w:tabs>
      <w:outlineLvl w:val="5"/>
    </w:pPr>
  </w:style>
  <w:style w:type="paragraph" w:customStyle="1" w:styleId="156">
    <w:name w:val="附录三级条标题"/>
    <w:basedOn w:val="157"/>
    <w:next w:val="45"/>
    <w:qFormat/>
    <w:uiPriority w:val="0"/>
    <w:pPr>
      <w:tabs>
        <w:tab w:val="left" w:pos="360"/>
        <w:tab w:val="left" w:pos="864"/>
        <w:tab w:val="left" w:pos="1008"/>
      </w:tabs>
      <w:ind w:left="1008" w:hanging="1008"/>
      <w:outlineLvl w:val="4"/>
    </w:pPr>
  </w:style>
  <w:style w:type="paragraph" w:customStyle="1" w:styleId="157">
    <w:name w:val="附录二级条标题"/>
    <w:basedOn w:val="1"/>
    <w:next w:val="45"/>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60"/>
    <w:semiHidden/>
    <w:qFormat/>
    <w:uiPriority w:val="0"/>
    <w:rPr>
      <w:rFonts w:ascii="宋体" w:hAnsi="Courier New" w:cs="Courier New"/>
      <w:kern w:val="2"/>
      <w:sz w:val="21"/>
      <w:szCs w:val="21"/>
    </w:rPr>
  </w:style>
  <w:style w:type="paragraph" w:customStyle="1" w:styleId="162">
    <w:name w:val="H6"/>
    <w:basedOn w:val="8"/>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4"/>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5"/>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60"/>
    <w:link w:val="27"/>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60"/>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6"/>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4"/>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5"/>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60"/>
    <w:link w:val="37"/>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5"/>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5"/>
    <w:next w:val="45"/>
    <w:qFormat/>
    <w:uiPriority w:val="0"/>
    <w:pPr>
      <w:ind w:firstLine="360"/>
    </w:pPr>
    <w:rPr>
      <w:sz w:val="18"/>
    </w:rPr>
  </w:style>
  <w:style w:type="paragraph" w:customStyle="1" w:styleId="201">
    <w:name w:val="图标脚注说明"/>
    <w:basedOn w:val="45"/>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5"/>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5"/>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4"/>
    <w:qFormat/>
    <w:uiPriority w:val="0"/>
  </w:style>
  <w:style w:type="paragraph" w:customStyle="1" w:styleId="214">
    <w:name w:val="B5"/>
    <w:basedOn w:val="48"/>
    <w:qFormat/>
    <w:uiPriority w:val="0"/>
  </w:style>
  <w:style w:type="paragraph" w:customStyle="1" w:styleId="215">
    <w:name w:val="其他发布日期"/>
    <w:basedOn w:val="165"/>
    <w:qFormat/>
    <w:uiPriority w:val="0"/>
  </w:style>
  <w:style w:type="paragraph" w:customStyle="1" w:styleId="216">
    <w:name w:val="B4"/>
    <w:basedOn w:val="49"/>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5"/>
    <w:qFormat/>
    <w:uiPriority w:val="0"/>
    <w:pPr>
      <w:spacing w:line="14" w:lineRule="exact"/>
      <w:ind w:left="811" w:hanging="448"/>
      <w:jc w:val="center"/>
      <w:outlineLvl w:val="0"/>
    </w:pPr>
    <w:rPr>
      <w:color w:val="FFFFFF"/>
    </w:rPr>
  </w:style>
  <w:style w:type="paragraph" w:customStyle="1" w:styleId="221">
    <w:name w:val="附录图标题"/>
    <w:basedOn w:val="1"/>
    <w:next w:val="45"/>
    <w:qFormat/>
    <w:uiPriority w:val="0"/>
    <w:pPr>
      <w:tabs>
        <w:tab w:val="left" w:pos="363"/>
      </w:tabs>
      <w:spacing w:beforeLines="50" w:afterLines="50"/>
      <w:jc w:val="center"/>
    </w:pPr>
    <w:rPr>
      <w:rFonts w:ascii="黑体" w:eastAsia="黑体"/>
      <w:szCs w:val="21"/>
    </w:rPr>
  </w:style>
  <w:style w:type="paragraph" w:customStyle="1" w:styleId="222">
    <w:name w:val="附录标题"/>
    <w:basedOn w:val="45"/>
    <w:next w:val="45"/>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5"/>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5"/>
    <w:next w:val="45"/>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7"/>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5"/>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5"/>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60"/>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60"/>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B56899-94FA-420A-B6BE-24143A862DC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1153</Words>
  <Characters>6577</Characters>
  <Lines>54</Lines>
  <Paragraphs>15</Paragraphs>
  <TotalTime>2</TotalTime>
  <ScaleCrop>false</ScaleCrop>
  <LinksUpToDate>false</LinksUpToDate>
  <CharactersWithSpaces>7715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ZTE</cp:lastModifiedBy>
  <cp:lastPrinted>2113-01-01T00:00:00Z</cp:lastPrinted>
  <dcterms:modified xsi:type="dcterms:W3CDTF">2021-10-22T03:29:45Z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